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AD7287B" w14:textId="77777777" w:rsidR="008D7E3A" w:rsidRDefault="00000000"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037194FE" w:rsidR="008D7E3A" w:rsidRDefault="008D7E3A" w:rsidP="008D7E3A">
      <w:pPr>
        <w:ind w:left="144" w:right="144"/>
        <w:jc w:val="center"/>
        <w:rPr>
          <w:sz w:val="20"/>
          <w:szCs w:val="20"/>
        </w:rPr>
      </w:pPr>
      <w:r>
        <w:rPr>
          <w:b/>
          <w:bCs/>
          <w:sz w:val="20"/>
          <w:szCs w:val="20"/>
        </w:rPr>
        <w:t>Date of report (Date of earliest event reported):  </w:t>
      </w:r>
      <w:r w:rsidR="00C77C70">
        <w:rPr>
          <w:b/>
          <w:bCs/>
          <w:sz w:val="20"/>
          <w:szCs w:val="20"/>
        </w:rPr>
        <w:t>August</w:t>
      </w:r>
      <w:r w:rsidR="00820274">
        <w:rPr>
          <w:b/>
          <w:bCs/>
          <w:sz w:val="20"/>
          <w:szCs w:val="20"/>
        </w:rPr>
        <w:t xml:space="preserve"> 1, 2023</w:t>
      </w:r>
    </w:p>
    <w:p w14:paraId="4BE21BF0" w14:textId="77777777" w:rsidR="008D7E3A" w:rsidRDefault="00000000"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(State or other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0B150982" w14:textId="38388E8D" w:rsidR="00C77C70" w:rsidRPr="00C77C70" w:rsidRDefault="008D7E3A" w:rsidP="00820274">
      <w:pPr>
        <w:pStyle w:val="NormalWeb"/>
        <w:shd w:val="clear" w:color="auto" w:fill="FFFFFF"/>
        <w:spacing w:before="0" w:beforeAutospacing="0" w:after="0" w:afterAutospacing="0"/>
        <w:jc w:val="both"/>
        <w:rPr>
          <w:b/>
          <w:bCs/>
          <w:color w:val="000000"/>
          <w:sz w:val="20"/>
          <w:szCs w:val="20"/>
        </w:rPr>
      </w:pPr>
      <w:r>
        <w:rPr>
          <w:sz w:val="20"/>
          <w:szCs w:val="20"/>
        </w:rPr>
        <w:br w:type="page"/>
      </w:r>
    </w:p>
    <w:p w14:paraId="7D76C086" w14:textId="77777777" w:rsidR="00C77C70" w:rsidRDefault="00C77C70" w:rsidP="00C77C70">
      <w:pPr>
        <w:ind w:left="144" w:right="144"/>
        <w:jc w:val="both"/>
        <w:rPr>
          <w:b/>
          <w:bCs/>
          <w:sz w:val="20"/>
          <w:szCs w:val="20"/>
        </w:rPr>
      </w:pPr>
      <w:r>
        <w:rPr>
          <w:b/>
          <w:bCs/>
          <w:sz w:val="20"/>
          <w:szCs w:val="20"/>
        </w:rPr>
        <w:lastRenderedPageBreak/>
        <w:t>Item 5.02 </w:t>
      </w:r>
      <w:r>
        <w:rPr>
          <w:b/>
          <w:bCs/>
          <w:sz w:val="20"/>
          <w:szCs w:val="20"/>
        </w:rPr>
        <w:tab/>
        <w:t>Departure of Directors or Certain Officers; Election of Directors; Appointment of Certain Officers; Compensatory Arrangements of Certain Officers</w:t>
      </w:r>
    </w:p>
    <w:p w14:paraId="4FC4C73F" w14:textId="77777777" w:rsidR="00C77C70" w:rsidRDefault="00C77C70" w:rsidP="00C77C70">
      <w:pPr>
        <w:ind w:left="144" w:right="144"/>
        <w:jc w:val="both"/>
        <w:rPr>
          <w:bCs/>
          <w:sz w:val="20"/>
          <w:szCs w:val="20"/>
        </w:rPr>
      </w:pPr>
    </w:p>
    <w:p w14:paraId="4B1C8B63" w14:textId="224B2113" w:rsidR="00C77C70" w:rsidRPr="004562CE" w:rsidRDefault="00C77C70" w:rsidP="00C77C70">
      <w:pPr>
        <w:ind w:left="144" w:right="144"/>
        <w:jc w:val="both"/>
        <w:rPr>
          <w:sz w:val="20"/>
          <w:szCs w:val="20"/>
        </w:rPr>
      </w:pPr>
      <w:r>
        <w:rPr>
          <w:bCs/>
          <w:sz w:val="20"/>
          <w:szCs w:val="20"/>
        </w:rPr>
        <w:t>A</w:t>
      </w:r>
      <w:r w:rsidRPr="004562CE">
        <w:rPr>
          <w:bCs/>
          <w:sz w:val="20"/>
          <w:szCs w:val="20"/>
        </w:rPr>
        <w:t>s noted at Item 5.07 bel</w:t>
      </w:r>
      <w:r>
        <w:rPr>
          <w:bCs/>
          <w:sz w:val="20"/>
          <w:szCs w:val="20"/>
        </w:rPr>
        <w:t xml:space="preserve">ow, our Stockholders approved an increase in </w:t>
      </w:r>
      <w:r w:rsidRPr="004562CE">
        <w:rPr>
          <w:bCs/>
          <w:sz w:val="20"/>
          <w:szCs w:val="20"/>
        </w:rPr>
        <w:t>the number of shares subject to the G</w:t>
      </w:r>
      <w:r>
        <w:rPr>
          <w:bCs/>
          <w:sz w:val="20"/>
          <w:szCs w:val="20"/>
        </w:rPr>
        <w:t>eoVax Labs, Inc. 2020 Stock Incentive P</w:t>
      </w:r>
      <w:r w:rsidRPr="004562CE">
        <w:rPr>
          <w:bCs/>
          <w:sz w:val="20"/>
          <w:szCs w:val="20"/>
        </w:rPr>
        <w:t xml:space="preserve">lan to </w:t>
      </w:r>
      <w:r>
        <w:rPr>
          <w:bCs/>
          <w:sz w:val="20"/>
          <w:szCs w:val="20"/>
        </w:rPr>
        <w:t>2,25</w:t>
      </w:r>
      <w:r w:rsidRPr="004562CE">
        <w:rPr>
          <w:bCs/>
          <w:sz w:val="20"/>
          <w:szCs w:val="20"/>
        </w:rPr>
        <w:t>0,000 shares</w:t>
      </w:r>
      <w:r>
        <w:rPr>
          <w:bCs/>
          <w:sz w:val="20"/>
          <w:szCs w:val="20"/>
        </w:rPr>
        <w:t xml:space="preserve"> and also approved the GeoVax Labs, Inc. 2023 Stock Incentive Plan</w:t>
      </w:r>
      <w:r w:rsidRPr="004562CE">
        <w:rPr>
          <w:bCs/>
          <w:sz w:val="20"/>
          <w:szCs w:val="20"/>
        </w:rPr>
        <w:t xml:space="preserve">.  Details of </w:t>
      </w:r>
      <w:r>
        <w:rPr>
          <w:bCs/>
          <w:sz w:val="20"/>
          <w:szCs w:val="20"/>
        </w:rPr>
        <w:t>these proposals were previously reported</w:t>
      </w:r>
      <w:r w:rsidRPr="004562CE">
        <w:rPr>
          <w:bCs/>
          <w:sz w:val="20"/>
          <w:szCs w:val="20"/>
        </w:rPr>
        <w:t xml:space="preserve"> in our definitive proxy materials filed June</w:t>
      </w:r>
      <w:r>
        <w:rPr>
          <w:bCs/>
          <w:sz w:val="20"/>
          <w:szCs w:val="20"/>
        </w:rPr>
        <w:t xml:space="preserve"> </w:t>
      </w:r>
      <w:r w:rsidR="002A6832">
        <w:rPr>
          <w:bCs/>
          <w:sz w:val="20"/>
          <w:szCs w:val="20"/>
        </w:rPr>
        <w:t>12</w:t>
      </w:r>
      <w:r w:rsidRPr="004562CE">
        <w:rPr>
          <w:bCs/>
          <w:sz w:val="20"/>
          <w:szCs w:val="20"/>
        </w:rPr>
        <w:t>, 202</w:t>
      </w:r>
      <w:r>
        <w:rPr>
          <w:bCs/>
          <w:sz w:val="20"/>
          <w:szCs w:val="20"/>
        </w:rPr>
        <w:t>3</w:t>
      </w:r>
      <w:r w:rsidR="00F243C8">
        <w:rPr>
          <w:bCs/>
          <w:sz w:val="20"/>
          <w:szCs w:val="20"/>
        </w:rPr>
        <w:t xml:space="preserve"> (the “Proxy Statement”)</w:t>
      </w:r>
      <w:r w:rsidRPr="004562CE">
        <w:rPr>
          <w:bCs/>
          <w:sz w:val="20"/>
          <w:szCs w:val="20"/>
        </w:rPr>
        <w:t>.</w:t>
      </w:r>
    </w:p>
    <w:p w14:paraId="27B0E652" w14:textId="77777777" w:rsidR="00E00577" w:rsidRDefault="00E00577" w:rsidP="00C77C70">
      <w:pPr>
        <w:ind w:left="144" w:right="144"/>
        <w:jc w:val="both"/>
        <w:rPr>
          <w:sz w:val="20"/>
          <w:szCs w:val="20"/>
        </w:rPr>
      </w:pPr>
    </w:p>
    <w:p w14:paraId="4FA15900" w14:textId="77777777" w:rsidR="00C77C70" w:rsidRDefault="00C77C70" w:rsidP="00C77C70">
      <w:pPr>
        <w:ind w:left="144" w:right="144"/>
        <w:jc w:val="both"/>
        <w:rPr>
          <w:sz w:val="20"/>
          <w:szCs w:val="20"/>
        </w:rPr>
      </w:pPr>
      <w:r>
        <w:rPr>
          <w:b/>
          <w:bCs/>
          <w:sz w:val="20"/>
          <w:szCs w:val="20"/>
        </w:rPr>
        <w:t>Item 5.07 </w:t>
      </w:r>
      <w:r>
        <w:rPr>
          <w:b/>
          <w:bCs/>
          <w:sz w:val="20"/>
          <w:szCs w:val="20"/>
        </w:rPr>
        <w:tab/>
        <w:t>Submission of Matters to a Vote of Security Holders.</w:t>
      </w:r>
    </w:p>
    <w:p w14:paraId="7BE03C3F" w14:textId="77777777" w:rsidR="00C77C70" w:rsidRDefault="00C77C70" w:rsidP="00C77C70">
      <w:pPr>
        <w:ind w:left="144" w:right="144"/>
        <w:jc w:val="both"/>
        <w:rPr>
          <w:sz w:val="20"/>
          <w:szCs w:val="20"/>
        </w:rPr>
      </w:pPr>
      <w:r>
        <w:rPr>
          <w:sz w:val="20"/>
          <w:szCs w:val="20"/>
        </w:rPr>
        <w:t> </w:t>
      </w:r>
    </w:p>
    <w:p w14:paraId="647448A0" w14:textId="74953F94" w:rsidR="00C77C70" w:rsidRDefault="00C77C70" w:rsidP="00C77C70">
      <w:pPr>
        <w:ind w:left="144" w:right="144"/>
        <w:jc w:val="both"/>
        <w:rPr>
          <w:sz w:val="20"/>
          <w:szCs w:val="20"/>
        </w:rPr>
      </w:pPr>
      <w:r>
        <w:rPr>
          <w:sz w:val="20"/>
          <w:szCs w:val="20"/>
        </w:rPr>
        <w:t xml:space="preserve">The Company held its annual meeting of stockholders on August 1, 2023. The Company received proxies totaling </w:t>
      </w:r>
      <w:r w:rsidR="00EE2BC8">
        <w:rPr>
          <w:sz w:val="20"/>
          <w:szCs w:val="20"/>
        </w:rPr>
        <w:t>13,224,236</w:t>
      </w:r>
      <w:r>
        <w:rPr>
          <w:sz w:val="20"/>
          <w:szCs w:val="20"/>
        </w:rPr>
        <w:t xml:space="preserve"> of its 26,443,649 issued and outstanding shares of common stock as of the record date of June </w:t>
      </w:r>
      <w:r w:rsidR="00F243C8">
        <w:rPr>
          <w:sz w:val="20"/>
          <w:szCs w:val="20"/>
        </w:rPr>
        <w:t>2</w:t>
      </w:r>
      <w:r>
        <w:rPr>
          <w:sz w:val="20"/>
          <w:szCs w:val="20"/>
        </w:rPr>
        <w:t>, 2023. The stockholders voted on the following proposals and the results of the voting are presented below.</w:t>
      </w:r>
    </w:p>
    <w:p w14:paraId="5C13192F" w14:textId="77777777" w:rsidR="00C77C70" w:rsidRDefault="00C77C70" w:rsidP="00C77C70">
      <w:pPr>
        <w:ind w:left="144" w:right="144"/>
        <w:jc w:val="both"/>
        <w:rPr>
          <w:sz w:val="20"/>
          <w:szCs w:val="20"/>
        </w:rPr>
      </w:pPr>
    </w:p>
    <w:p w14:paraId="63BA11F7" w14:textId="77777777" w:rsidR="00C77C70" w:rsidRDefault="00C77C70" w:rsidP="00C77C70">
      <w:pPr>
        <w:ind w:left="144" w:right="144"/>
        <w:jc w:val="both"/>
        <w:rPr>
          <w:b/>
          <w:sz w:val="20"/>
          <w:szCs w:val="20"/>
        </w:rPr>
      </w:pPr>
      <w:r>
        <w:rPr>
          <w:b/>
          <w:sz w:val="20"/>
          <w:szCs w:val="20"/>
        </w:rPr>
        <w:t>Election of Directors</w:t>
      </w:r>
    </w:p>
    <w:p w14:paraId="74500E2A" w14:textId="77777777" w:rsidR="00C77C70" w:rsidRDefault="00C77C70" w:rsidP="00C77C70">
      <w:pPr>
        <w:ind w:left="144" w:right="144"/>
        <w:jc w:val="both"/>
        <w:rPr>
          <w:sz w:val="20"/>
          <w:szCs w:val="20"/>
        </w:rPr>
      </w:pPr>
    </w:p>
    <w:p w14:paraId="3E3C4E81" w14:textId="08E0BE79" w:rsidR="00C77C70" w:rsidRDefault="00C77C70" w:rsidP="00C77C70">
      <w:pPr>
        <w:ind w:left="144" w:right="144"/>
        <w:jc w:val="both"/>
        <w:rPr>
          <w:sz w:val="20"/>
          <w:szCs w:val="20"/>
        </w:rPr>
      </w:pPr>
      <w:r>
        <w:rPr>
          <w:sz w:val="20"/>
          <w:szCs w:val="20"/>
        </w:rPr>
        <w:t xml:space="preserve">Our stockholders voted to elect the slate of directors consisting of </w:t>
      </w:r>
      <w:r w:rsidR="00D56E8E">
        <w:rPr>
          <w:sz w:val="20"/>
          <w:szCs w:val="20"/>
        </w:rPr>
        <w:t>seven</w:t>
      </w:r>
      <w:r>
        <w:rPr>
          <w:sz w:val="20"/>
          <w:szCs w:val="20"/>
        </w:rPr>
        <w:t xml:space="preserve"> members to hold office until the next annual meeting of stockholders or until their successors are duly elected and qualified. There were a total of </w:t>
      </w:r>
      <w:r w:rsidR="00B16B6E">
        <w:rPr>
          <w:sz w:val="20"/>
          <w:szCs w:val="20"/>
        </w:rPr>
        <w:t>7,216,927</w:t>
      </w:r>
      <w:r>
        <w:rPr>
          <w:sz w:val="20"/>
          <w:szCs w:val="20"/>
        </w:rPr>
        <w:t xml:space="preserve"> broker non-votes on this item.</w:t>
      </w:r>
    </w:p>
    <w:p w14:paraId="2E231496" w14:textId="77777777" w:rsidR="00B16B6E" w:rsidRDefault="00B16B6E" w:rsidP="00C77C70">
      <w:pPr>
        <w:ind w:left="144" w:right="144"/>
        <w:jc w:val="both"/>
        <w:rPr>
          <w:sz w:val="20"/>
          <w:szCs w:val="20"/>
        </w:rPr>
      </w:pPr>
    </w:p>
    <w:p w14:paraId="3E65A131" w14:textId="75D499A2" w:rsidR="00B16B6E" w:rsidRPr="00B16B6E" w:rsidRDefault="00B16B6E" w:rsidP="00B16B6E">
      <w:pPr>
        <w:tabs>
          <w:tab w:val="center" w:pos="3600"/>
          <w:tab w:val="center" w:pos="5760"/>
        </w:tabs>
        <w:ind w:left="144" w:right="144"/>
        <w:jc w:val="both"/>
        <w:rPr>
          <w:b/>
          <w:bCs/>
          <w:sz w:val="20"/>
          <w:szCs w:val="20"/>
        </w:rPr>
      </w:pPr>
      <w:r w:rsidRPr="00D026FB">
        <w:rPr>
          <w:b/>
          <w:bCs/>
          <w:sz w:val="20"/>
          <w:szCs w:val="20"/>
          <w:u w:val="single"/>
        </w:rPr>
        <w:t>Nominee</w:t>
      </w:r>
      <w:r w:rsidRPr="00B16B6E">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Withheld</w:t>
      </w:r>
    </w:p>
    <w:p w14:paraId="1DB1D188" w14:textId="73235A46" w:rsidR="00B16B6E" w:rsidRDefault="00B16B6E" w:rsidP="00B16B6E">
      <w:pPr>
        <w:tabs>
          <w:tab w:val="decimal" w:pos="3960"/>
          <w:tab w:val="decimal" w:pos="6120"/>
        </w:tabs>
        <w:ind w:left="144" w:right="144"/>
        <w:jc w:val="both"/>
        <w:rPr>
          <w:sz w:val="20"/>
          <w:szCs w:val="20"/>
        </w:rPr>
      </w:pPr>
      <w:r>
        <w:rPr>
          <w:sz w:val="20"/>
          <w:szCs w:val="20"/>
        </w:rPr>
        <w:t>Randal D. Chase</w:t>
      </w:r>
      <w:r>
        <w:rPr>
          <w:sz w:val="20"/>
          <w:szCs w:val="20"/>
        </w:rPr>
        <w:tab/>
        <w:t>4,808,267</w:t>
      </w:r>
      <w:r>
        <w:rPr>
          <w:sz w:val="20"/>
          <w:szCs w:val="20"/>
        </w:rPr>
        <w:tab/>
        <w:t>1,199,042</w:t>
      </w:r>
    </w:p>
    <w:p w14:paraId="1615E41A" w14:textId="2310A59A" w:rsidR="00B16B6E" w:rsidRDefault="00B16B6E" w:rsidP="00B16B6E">
      <w:pPr>
        <w:tabs>
          <w:tab w:val="decimal" w:pos="3960"/>
          <w:tab w:val="decimal" w:pos="6120"/>
        </w:tabs>
        <w:ind w:left="144" w:right="144"/>
        <w:jc w:val="both"/>
        <w:rPr>
          <w:sz w:val="20"/>
          <w:szCs w:val="20"/>
        </w:rPr>
      </w:pPr>
      <w:r>
        <w:rPr>
          <w:sz w:val="20"/>
          <w:szCs w:val="20"/>
        </w:rPr>
        <w:t>David A. Dodd</w:t>
      </w:r>
      <w:r>
        <w:rPr>
          <w:sz w:val="20"/>
          <w:szCs w:val="20"/>
        </w:rPr>
        <w:tab/>
        <w:t>5,436,151</w:t>
      </w:r>
      <w:r>
        <w:rPr>
          <w:sz w:val="20"/>
          <w:szCs w:val="20"/>
        </w:rPr>
        <w:tab/>
        <w:t>571,158</w:t>
      </w:r>
    </w:p>
    <w:p w14:paraId="35A54098" w14:textId="30912C96" w:rsidR="00B16B6E" w:rsidRDefault="00B16B6E" w:rsidP="00B16B6E">
      <w:pPr>
        <w:tabs>
          <w:tab w:val="decimal" w:pos="3960"/>
          <w:tab w:val="decimal" w:pos="6120"/>
        </w:tabs>
        <w:ind w:left="144" w:right="144"/>
        <w:jc w:val="both"/>
        <w:rPr>
          <w:sz w:val="20"/>
          <w:szCs w:val="20"/>
        </w:rPr>
      </w:pPr>
      <w:r>
        <w:rPr>
          <w:sz w:val="20"/>
          <w:szCs w:val="20"/>
        </w:rPr>
        <w:t>Dean G. Kollintzas</w:t>
      </w:r>
      <w:r>
        <w:rPr>
          <w:sz w:val="20"/>
          <w:szCs w:val="20"/>
        </w:rPr>
        <w:tab/>
        <w:t>4,959,658</w:t>
      </w:r>
      <w:r>
        <w:rPr>
          <w:sz w:val="20"/>
          <w:szCs w:val="20"/>
        </w:rPr>
        <w:tab/>
        <w:t>1,047,651</w:t>
      </w:r>
    </w:p>
    <w:p w14:paraId="5832264F" w14:textId="04C953DC" w:rsidR="00B16B6E" w:rsidRDefault="00B16B6E" w:rsidP="00B16B6E">
      <w:pPr>
        <w:tabs>
          <w:tab w:val="decimal" w:pos="3960"/>
          <w:tab w:val="decimal" w:pos="6120"/>
        </w:tabs>
        <w:ind w:left="144" w:right="144"/>
        <w:jc w:val="both"/>
        <w:rPr>
          <w:sz w:val="20"/>
          <w:szCs w:val="20"/>
        </w:rPr>
      </w:pPr>
      <w:r>
        <w:rPr>
          <w:sz w:val="20"/>
          <w:szCs w:val="20"/>
        </w:rPr>
        <w:t>Nicole Lemerond</w:t>
      </w:r>
      <w:r>
        <w:rPr>
          <w:sz w:val="20"/>
          <w:szCs w:val="20"/>
        </w:rPr>
        <w:tab/>
        <w:t>5,543,723</w:t>
      </w:r>
      <w:r>
        <w:rPr>
          <w:sz w:val="20"/>
          <w:szCs w:val="20"/>
        </w:rPr>
        <w:tab/>
        <w:t>463,586</w:t>
      </w:r>
    </w:p>
    <w:p w14:paraId="42504AEF" w14:textId="6E0A912C" w:rsidR="00B16B6E" w:rsidRDefault="00B16B6E" w:rsidP="00B16B6E">
      <w:pPr>
        <w:tabs>
          <w:tab w:val="decimal" w:pos="3960"/>
          <w:tab w:val="decimal" w:pos="6120"/>
        </w:tabs>
        <w:ind w:left="144" w:right="144"/>
        <w:jc w:val="both"/>
        <w:rPr>
          <w:sz w:val="20"/>
          <w:szCs w:val="20"/>
        </w:rPr>
      </w:pPr>
      <w:r>
        <w:rPr>
          <w:sz w:val="20"/>
          <w:szCs w:val="20"/>
        </w:rPr>
        <w:t>Robert T. McNally</w:t>
      </w:r>
      <w:r>
        <w:rPr>
          <w:sz w:val="20"/>
          <w:szCs w:val="20"/>
        </w:rPr>
        <w:tab/>
        <w:t>4,344,966</w:t>
      </w:r>
      <w:r>
        <w:rPr>
          <w:sz w:val="20"/>
          <w:szCs w:val="20"/>
        </w:rPr>
        <w:tab/>
        <w:t>1,662,343</w:t>
      </w:r>
    </w:p>
    <w:p w14:paraId="5349028D" w14:textId="6C52CA1D" w:rsidR="00B16B6E" w:rsidRDefault="00B16B6E" w:rsidP="00B16B6E">
      <w:pPr>
        <w:tabs>
          <w:tab w:val="decimal" w:pos="3960"/>
          <w:tab w:val="decimal" w:pos="6120"/>
        </w:tabs>
        <w:ind w:left="144" w:right="144"/>
        <w:jc w:val="both"/>
        <w:rPr>
          <w:sz w:val="20"/>
          <w:szCs w:val="20"/>
        </w:rPr>
      </w:pPr>
      <w:r>
        <w:rPr>
          <w:sz w:val="20"/>
          <w:szCs w:val="20"/>
        </w:rPr>
        <w:t>Jayne Morgan</w:t>
      </w:r>
      <w:r>
        <w:rPr>
          <w:sz w:val="20"/>
          <w:szCs w:val="20"/>
        </w:rPr>
        <w:tab/>
        <w:t>5,285,055</w:t>
      </w:r>
      <w:r>
        <w:rPr>
          <w:sz w:val="20"/>
          <w:szCs w:val="20"/>
        </w:rPr>
        <w:tab/>
        <w:t>722,304</w:t>
      </w:r>
    </w:p>
    <w:p w14:paraId="7DA3CED3" w14:textId="40F0D7F9" w:rsidR="00B16B6E" w:rsidRDefault="00B16B6E" w:rsidP="00B16B6E">
      <w:pPr>
        <w:tabs>
          <w:tab w:val="decimal" w:pos="3960"/>
          <w:tab w:val="decimal" w:pos="6120"/>
        </w:tabs>
        <w:ind w:left="144" w:right="144"/>
        <w:jc w:val="both"/>
        <w:rPr>
          <w:sz w:val="20"/>
          <w:szCs w:val="20"/>
        </w:rPr>
      </w:pPr>
      <w:r>
        <w:rPr>
          <w:sz w:val="20"/>
          <w:szCs w:val="20"/>
        </w:rPr>
        <w:t>John N. Spencer, Jr.</w:t>
      </w:r>
      <w:r>
        <w:rPr>
          <w:sz w:val="20"/>
          <w:szCs w:val="20"/>
        </w:rPr>
        <w:tab/>
        <w:t>5,184,655</w:t>
      </w:r>
      <w:r>
        <w:rPr>
          <w:sz w:val="20"/>
          <w:szCs w:val="20"/>
        </w:rPr>
        <w:tab/>
        <w:t>822,654</w:t>
      </w:r>
    </w:p>
    <w:p w14:paraId="0EFD90DF" w14:textId="77777777" w:rsidR="00C77C70" w:rsidRDefault="00C77C70" w:rsidP="00C77C70">
      <w:pPr>
        <w:ind w:left="144" w:right="144"/>
        <w:jc w:val="both"/>
        <w:rPr>
          <w:sz w:val="20"/>
          <w:szCs w:val="20"/>
        </w:rPr>
      </w:pPr>
    </w:p>
    <w:p w14:paraId="779678EE" w14:textId="77777777" w:rsidR="00C77C70" w:rsidRDefault="00C77C70" w:rsidP="00C77C70">
      <w:pPr>
        <w:ind w:left="180" w:right="144"/>
        <w:jc w:val="both"/>
        <w:rPr>
          <w:b/>
          <w:sz w:val="20"/>
          <w:szCs w:val="20"/>
        </w:rPr>
      </w:pPr>
      <w:r>
        <w:rPr>
          <w:b/>
          <w:sz w:val="20"/>
          <w:szCs w:val="20"/>
        </w:rPr>
        <w:t>Ratification of Independent Auditor</w:t>
      </w:r>
    </w:p>
    <w:p w14:paraId="62AA32ED" w14:textId="77777777" w:rsidR="00C77C70" w:rsidRDefault="00C77C70" w:rsidP="00C77C70">
      <w:pPr>
        <w:ind w:left="180" w:right="144"/>
        <w:jc w:val="both"/>
        <w:rPr>
          <w:sz w:val="20"/>
          <w:szCs w:val="20"/>
        </w:rPr>
      </w:pPr>
    </w:p>
    <w:p w14:paraId="3670A0AA" w14:textId="418029A7" w:rsidR="00C77C70" w:rsidRDefault="00C77C70" w:rsidP="00C77C70">
      <w:pPr>
        <w:ind w:left="180" w:right="144"/>
        <w:jc w:val="both"/>
        <w:rPr>
          <w:sz w:val="20"/>
          <w:szCs w:val="20"/>
        </w:rPr>
      </w:pPr>
      <w:r>
        <w:rPr>
          <w:sz w:val="20"/>
          <w:szCs w:val="20"/>
        </w:rPr>
        <w:t>Our stockholders approved the ratification of Wipfli LLP as our independent registered public accounting firm for the fiscal year ending December 31, 2023.</w:t>
      </w:r>
      <w:r w:rsidR="002A6832">
        <w:rPr>
          <w:sz w:val="20"/>
          <w:szCs w:val="20"/>
        </w:rPr>
        <w:t xml:space="preserve"> There were no broker non-votes on this item.</w:t>
      </w:r>
    </w:p>
    <w:p w14:paraId="776FE5C1" w14:textId="77777777" w:rsidR="00D026FB" w:rsidRDefault="00D026FB" w:rsidP="00C77C70">
      <w:pPr>
        <w:ind w:left="180" w:right="144"/>
        <w:jc w:val="both"/>
        <w:rPr>
          <w:sz w:val="20"/>
          <w:szCs w:val="20"/>
        </w:rPr>
      </w:pPr>
    </w:p>
    <w:p w14:paraId="23728582" w14:textId="2736A3F7" w:rsidR="00B16B6E" w:rsidRPr="00B16B6E" w:rsidRDefault="00B16B6E" w:rsidP="00D026FB">
      <w:pPr>
        <w:tabs>
          <w:tab w:val="center" w:pos="900"/>
          <w:tab w:val="center" w:pos="3240"/>
          <w:tab w:val="center" w:pos="5490"/>
        </w:tabs>
        <w:ind w:left="180" w:right="144"/>
        <w:jc w:val="both"/>
        <w:rPr>
          <w:b/>
          <w:bCs/>
          <w:sz w:val="20"/>
          <w:szCs w:val="20"/>
        </w:rPr>
      </w:pPr>
      <w:bookmarkStart w:id="0" w:name="_Hlk141854950"/>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1882CE24" w14:textId="3003A372" w:rsidR="00B16B6E" w:rsidRDefault="00B16B6E" w:rsidP="00B16B6E">
      <w:pPr>
        <w:tabs>
          <w:tab w:val="decimal" w:pos="1440"/>
          <w:tab w:val="decimal" w:pos="3600"/>
          <w:tab w:val="decimal" w:pos="5760"/>
        </w:tabs>
        <w:ind w:left="180" w:right="144"/>
        <w:jc w:val="both"/>
        <w:rPr>
          <w:sz w:val="20"/>
          <w:szCs w:val="20"/>
        </w:rPr>
      </w:pPr>
      <w:r>
        <w:rPr>
          <w:sz w:val="20"/>
          <w:szCs w:val="20"/>
        </w:rPr>
        <w:tab/>
        <w:t>12,440,417</w:t>
      </w:r>
      <w:r>
        <w:rPr>
          <w:sz w:val="20"/>
          <w:szCs w:val="20"/>
        </w:rPr>
        <w:tab/>
        <w:t>542,971</w:t>
      </w:r>
      <w:r>
        <w:rPr>
          <w:sz w:val="20"/>
          <w:szCs w:val="20"/>
        </w:rPr>
        <w:tab/>
        <w:t>240,848</w:t>
      </w:r>
    </w:p>
    <w:p w14:paraId="5AC1D74D" w14:textId="77777777" w:rsidR="00B16B6E" w:rsidRDefault="00B16B6E" w:rsidP="00C77C70">
      <w:pPr>
        <w:ind w:left="180" w:right="144"/>
        <w:jc w:val="both"/>
        <w:rPr>
          <w:sz w:val="20"/>
          <w:szCs w:val="20"/>
        </w:rPr>
      </w:pPr>
    </w:p>
    <w:bookmarkEnd w:id="0"/>
    <w:p w14:paraId="73BBD9DE" w14:textId="1F1498C0" w:rsidR="00C77C70" w:rsidRDefault="00C77C70" w:rsidP="00C77C70">
      <w:pPr>
        <w:ind w:left="144" w:right="144"/>
        <w:jc w:val="both"/>
        <w:rPr>
          <w:b/>
          <w:sz w:val="20"/>
          <w:szCs w:val="20"/>
        </w:rPr>
      </w:pPr>
      <w:r>
        <w:rPr>
          <w:b/>
          <w:sz w:val="20"/>
          <w:szCs w:val="20"/>
        </w:rPr>
        <w:t xml:space="preserve">Increase in Shares </w:t>
      </w:r>
      <w:r w:rsidR="00D56E8E">
        <w:rPr>
          <w:b/>
          <w:sz w:val="20"/>
          <w:szCs w:val="20"/>
        </w:rPr>
        <w:t>Subject to</w:t>
      </w:r>
      <w:r>
        <w:rPr>
          <w:b/>
          <w:sz w:val="20"/>
          <w:szCs w:val="20"/>
        </w:rPr>
        <w:t xml:space="preserve"> the GeoVa</w:t>
      </w:r>
      <w:r w:rsidR="00F243C8">
        <w:rPr>
          <w:b/>
          <w:sz w:val="20"/>
          <w:szCs w:val="20"/>
        </w:rPr>
        <w:t>x</w:t>
      </w:r>
      <w:r>
        <w:rPr>
          <w:b/>
          <w:sz w:val="20"/>
          <w:szCs w:val="20"/>
        </w:rPr>
        <w:t xml:space="preserve"> Labs, Inc. 2020 Stock Incentive Plan</w:t>
      </w:r>
    </w:p>
    <w:p w14:paraId="08A21057" w14:textId="77777777" w:rsidR="00C77C70" w:rsidRDefault="00C77C70" w:rsidP="00C77C70">
      <w:pPr>
        <w:ind w:left="144" w:right="144"/>
        <w:jc w:val="both"/>
        <w:rPr>
          <w:b/>
          <w:sz w:val="20"/>
          <w:szCs w:val="20"/>
        </w:rPr>
      </w:pPr>
    </w:p>
    <w:p w14:paraId="4C59824B" w14:textId="7FBAAE11" w:rsidR="00C77C70" w:rsidRDefault="00C77C70" w:rsidP="00C77C70">
      <w:pPr>
        <w:ind w:left="144" w:right="144"/>
        <w:jc w:val="both"/>
        <w:rPr>
          <w:sz w:val="20"/>
          <w:szCs w:val="20"/>
        </w:rPr>
      </w:pPr>
      <w:r>
        <w:rPr>
          <w:sz w:val="20"/>
          <w:szCs w:val="20"/>
        </w:rPr>
        <w:t xml:space="preserve">Our stockholders approved </w:t>
      </w:r>
      <w:r w:rsidR="00D56E8E">
        <w:rPr>
          <w:sz w:val="20"/>
          <w:szCs w:val="20"/>
        </w:rPr>
        <w:t>an</w:t>
      </w:r>
      <w:r>
        <w:rPr>
          <w:sz w:val="20"/>
          <w:szCs w:val="20"/>
        </w:rPr>
        <w:t xml:space="preserve"> increase in the aggregate number of shares of common stock subject to the GeoVax Labs, Inc.</w:t>
      </w:r>
      <w:r w:rsidR="00F243C8">
        <w:rPr>
          <w:sz w:val="20"/>
          <w:szCs w:val="20"/>
        </w:rPr>
        <w:t xml:space="preserve"> </w:t>
      </w:r>
      <w:r>
        <w:rPr>
          <w:sz w:val="20"/>
          <w:szCs w:val="20"/>
        </w:rPr>
        <w:t xml:space="preserve">2020 Stock Incentive Plan from 1,500,000 shares to 2,250,000 shares. There were a total of </w:t>
      </w:r>
      <w:r w:rsidR="00D026FB">
        <w:rPr>
          <w:sz w:val="20"/>
          <w:szCs w:val="20"/>
        </w:rPr>
        <w:t>7,216,927</w:t>
      </w:r>
      <w:r>
        <w:rPr>
          <w:sz w:val="20"/>
          <w:szCs w:val="20"/>
        </w:rPr>
        <w:t xml:space="preserve"> broker non-votes on this item.</w:t>
      </w:r>
    </w:p>
    <w:p w14:paraId="7069FC9E" w14:textId="77777777" w:rsidR="00D026FB" w:rsidRDefault="00D026FB" w:rsidP="00C77C70">
      <w:pPr>
        <w:ind w:left="144" w:right="144"/>
        <w:jc w:val="both"/>
        <w:rPr>
          <w:sz w:val="20"/>
          <w:szCs w:val="20"/>
        </w:rPr>
      </w:pPr>
    </w:p>
    <w:p w14:paraId="0CC3513A" w14:textId="77777777" w:rsidR="00D026FB" w:rsidRPr="00B16B6E" w:rsidRDefault="00D026FB" w:rsidP="00D026FB">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3C0FC2DC" w14:textId="7443E882" w:rsidR="00D026FB" w:rsidRDefault="00D026FB" w:rsidP="00D026FB">
      <w:pPr>
        <w:tabs>
          <w:tab w:val="decimal" w:pos="1440"/>
          <w:tab w:val="decimal" w:pos="3600"/>
          <w:tab w:val="decimal" w:pos="5760"/>
        </w:tabs>
        <w:ind w:left="180" w:right="144"/>
        <w:jc w:val="both"/>
        <w:rPr>
          <w:sz w:val="20"/>
          <w:szCs w:val="20"/>
        </w:rPr>
      </w:pPr>
      <w:r>
        <w:rPr>
          <w:sz w:val="20"/>
          <w:szCs w:val="20"/>
        </w:rPr>
        <w:tab/>
        <w:t>3,797,332</w:t>
      </w:r>
      <w:r>
        <w:rPr>
          <w:sz w:val="20"/>
          <w:szCs w:val="20"/>
        </w:rPr>
        <w:tab/>
        <w:t>2,050,214</w:t>
      </w:r>
      <w:r>
        <w:rPr>
          <w:sz w:val="20"/>
          <w:szCs w:val="20"/>
        </w:rPr>
        <w:tab/>
        <w:t>159,763</w:t>
      </w:r>
    </w:p>
    <w:p w14:paraId="43B352E1" w14:textId="77777777" w:rsidR="00D026FB" w:rsidRDefault="00D026FB" w:rsidP="00D026FB">
      <w:pPr>
        <w:ind w:left="180" w:right="144"/>
        <w:jc w:val="both"/>
        <w:rPr>
          <w:sz w:val="20"/>
          <w:szCs w:val="20"/>
        </w:rPr>
      </w:pPr>
    </w:p>
    <w:p w14:paraId="02A0AB8D" w14:textId="5D4B6012" w:rsidR="00C77C70" w:rsidRDefault="00F243C8" w:rsidP="00C77C70">
      <w:pPr>
        <w:ind w:left="144" w:right="144"/>
        <w:jc w:val="both"/>
        <w:rPr>
          <w:b/>
          <w:sz w:val="20"/>
          <w:szCs w:val="20"/>
        </w:rPr>
      </w:pPr>
      <w:r>
        <w:rPr>
          <w:b/>
          <w:sz w:val="20"/>
          <w:szCs w:val="20"/>
        </w:rPr>
        <w:t>Approval of the GeoVax Labs, Inc. 2023 Stock Incentive Plan</w:t>
      </w:r>
    </w:p>
    <w:p w14:paraId="68E1E66F" w14:textId="77777777" w:rsidR="00C77C70" w:rsidRDefault="00C77C70" w:rsidP="00C77C70">
      <w:pPr>
        <w:ind w:left="144" w:right="144"/>
        <w:jc w:val="both"/>
        <w:rPr>
          <w:b/>
          <w:sz w:val="20"/>
          <w:szCs w:val="20"/>
        </w:rPr>
      </w:pPr>
    </w:p>
    <w:p w14:paraId="3D522298" w14:textId="7D472841" w:rsidR="00C77C70" w:rsidRDefault="00C77C70" w:rsidP="00C77C70">
      <w:pPr>
        <w:ind w:left="144" w:right="144"/>
        <w:jc w:val="both"/>
        <w:rPr>
          <w:sz w:val="20"/>
          <w:szCs w:val="20"/>
        </w:rPr>
      </w:pPr>
      <w:r>
        <w:rPr>
          <w:sz w:val="20"/>
          <w:szCs w:val="20"/>
        </w:rPr>
        <w:t>Our stockholders approved the GeoVax Labs, Inc.</w:t>
      </w:r>
      <w:r w:rsidR="00F243C8">
        <w:rPr>
          <w:sz w:val="20"/>
          <w:szCs w:val="20"/>
        </w:rPr>
        <w:t xml:space="preserve"> </w:t>
      </w:r>
      <w:r>
        <w:rPr>
          <w:sz w:val="20"/>
          <w:szCs w:val="20"/>
        </w:rPr>
        <w:t>202</w:t>
      </w:r>
      <w:r w:rsidR="00F243C8">
        <w:rPr>
          <w:sz w:val="20"/>
          <w:szCs w:val="20"/>
        </w:rPr>
        <w:t>3</w:t>
      </w:r>
      <w:r>
        <w:rPr>
          <w:sz w:val="20"/>
          <w:szCs w:val="20"/>
        </w:rPr>
        <w:t xml:space="preserve"> Stock Incentive Plan. There were a total of </w:t>
      </w:r>
      <w:r w:rsidR="00D026FB">
        <w:rPr>
          <w:sz w:val="20"/>
          <w:szCs w:val="20"/>
        </w:rPr>
        <w:t>7,216,927</w:t>
      </w:r>
      <w:r>
        <w:rPr>
          <w:sz w:val="20"/>
          <w:szCs w:val="20"/>
        </w:rPr>
        <w:t xml:space="preserve"> broker non-votes on this ite</w:t>
      </w:r>
      <w:r w:rsidR="00D026FB">
        <w:rPr>
          <w:sz w:val="20"/>
          <w:szCs w:val="20"/>
        </w:rPr>
        <w:t>m.</w:t>
      </w:r>
    </w:p>
    <w:p w14:paraId="51BB632B" w14:textId="77777777" w:rsidR="00D026FB" w:rsidRDefault="00D026FB" w:rsidP="00C77C70">
      <w:pPr>
        <w:ind w:left="144" w:right="144"/>
        <w:jc w:val="both"/>
        <w:rPr>
          <w:sz w:val="20"/>
          <w:szCs w:val="20"/>
        </w:rPr>
      </w:pPr>
    </w:p>
    <w:p w14:paraId="404B19C8" w14:textId="77777777" w:rsidR="00D026FB" w:rsidRPr="00B16B6E" w:rsidRDefault="00D026FB" w:rsidP="00D026FB">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1C28D657" w14:textId="6A6B03C9" w:rsidR="00D026FB" w:rsidRDefault="00D026FB" w:rsidP="00D026FB">
      <w:pPr>
        <w:tabs>
          <w:tab w:val="decimal" w:pos="1440"/>
          <w:tab w:val="decimal" w:pos="3600"/>
          <w:tab w:val="decimal" w:pos="5760"/>
        </w:tabs>
        <w:ind w:left="180" w:right="144"/>
        <w:jc w:val="both"/>
        <w:rPr>
          <w:sz w:val="20"/>
          <w:szCs w:val="20"/>
        </w:rPr>
      </w:pPr>
      <w:r>
        <w:rPr>
          <w:sz w:val="20"/>
          <w:szCs w:val="20"/>
        </w:rPr>
        <w:tab/>
        <w:t>4,185,208</w:t>
      </w:r>
      <w:r>
        <w:rPr>
          <w:sz w:val="20"/>
          <w:szCs w:val="20"/>
        </w:rPr>
        <w:tab/>
        <w:t>1,704,426</w:t>
      </w:r>
      <w:r>
        <w:rPr>
          <w:sz w:val="20"/>
          <w:szCs w:val="20"/>
        </w:rPr>
        <w:tab/>
        <w:t>117,675</w:t>
      </w:r>
    </w:p>
    <w:p w14:paraId="1E90DE94" w14:textId="77777777" w:rsidR="00D026FB" w:rsidRDefault="00D026FB" w:rsidP="00D026FB">
      <w:pPr>
        <w:ind w:right="144"/>
        <w:jc w:val="both"/>
        <w:rPr>
          <w:sz w:val="20"/>
          <w:szCs w:val="20"/>
        </w:rPr>
      </w:pPr>
    </w:p>
    <w:p w14:paraId="345C2FAA" w14:textId="644D9E32" w:rsidR="00C77C70" w:rsidRDefault="00F243C8" w:rsidP="00C77C70">
      <w:pPr>
        <w:ind w:left="144" w:right="144"/>
        <w:jc w:val="both"/>
        <w:rPr>
          <w:b/>
          <w:sz w:val="20"/>
          <w:szCs w:val="20"/>
        </w:rPr>
      </w:pPr>
      <w:r>
        <w:rPr>
          <w:b/>
          <w:sz w:val="20"/>
          <w:szCs w:val="20"/>
        </w:rPr>
        <w:t>Advisory Vote on the Compensation of our Named Executive Officers</w:t>
      </w:r>
    </w:p>
    <w:p w14:paraId="4F9D5164" w14:textId="77777777" w:rsidR="00C77C70" w:rsidRDefault="00C77C70" w:rsidP="00C77C70">
      <w:pPr>
        <w:ind w:left="144" w:right="144"/>
        <w:jc w:val="both"/>
        <w:rPr>
          <w:b/>
          <w:sz w:val="20"/>
          <w:szCs w:val="20"/>
        </w:rPr>
      </w:pPr>
    </w:p>
    <w:p w14:paraId="614851DA" w14:textId="73F806A2" w:rsidR="00C77C70" w:rsidRDefault="00C77C70" w:rsidP="00C77C70">
      <w:pPr>
        <w:ind w:left="144" w:right="144"/>
        <w:jc w:val="both"/>
        <w:rPr>
          <w:sz w:val="20"/>
          <w:szCs w:val="20"/>
        </w:rPr>
      </w:pPr>
      <w:r>
        <w:rPr>
          <w:sz w:val="20"/>
          <w:szCs w:val="20"/>
        </w:rPr>
        <w:t>Our stockholders approved</w:t>
      </w:r>
      <w:r w:rsidR="00F243C8">
        <w:rPr>
          <w:sz w:val="20"/>
          <w:szCs w:val="20"/>
        </w:rPr>
        <w:t>, on an advisory basis, the compensation of our Named Executive Officers (as defined in the Proxy Statement)</w:t>
      </w:r>
      <w:r>
        <w:rPr>
          <w:sz w:val="20"/>
          <w:szCs w:val="20"/>
        </w:rPr>
        <w:t xml:space="preserve">. There were a total of </w:t>
      </w:r>
      <w:r w:rsidR="00D026FB">
        <w:rPr>
          <w:sz w:val="20"/>
          <w:szCs w:val="20"/>
        </w:rPr>
        <w:t>7,216,927</w:t>
      </w:r>
      <w:r>
        <w:rPr>
          <w:sz w:val="20"/>
          <w:szCs w:val="20"/>
        </w:rPr>
        <w:t xml:space="preserve"> broker non-votes on this item.</w:t>
      </w:r>
    </w:p>
    <w:p w14:paraId="3303F1CD" w14:textId="77777777" w:rsidR="00D026FB" w:rsidRDefault="00D026FB" w:rsidP="00C77C70">
      <w:pPr>
        <w:ind w:left="144" w:right="144"/>
        <w:jc w:val="both"/>
        <w:rPr>
          <w:sz w:val="20"/>
          <w:szCs w:val="20"/>
        </w:rPr>
      </w:pPr>
    </w:p>
    <w:p w14:paraId="2D2F844E" w14:textId="77777777" w:rsidR="00D026FB" w:rsidRPr="00B16B6E" w:rsidRDefault="00D026FB" w:rsidP="00D026FB">
      <w:pPr>
        <w:tabs>
          <w:tab w:val="center" w:pos="900"/>
          <w:tab w:val="center" w:pos="3240"/>
          <w:tab w:val="center" w:pos="5490"/>
        </w:tabs>
        <w:ind w:left="180" w:right="144"/>
        <w:jc w:val="both"/>
        <w:rPr>
          <w:b/>
          <w:bCs/>
          <w:sz w:val="20"/>
          <w:szCs w:val="20"/>
        </w:rPr>
      </w:pPr>
      <w:r>
        <w:rPr>
          <w:b/>
          <w:bCs/>
          <w:sz w:val="20"/>
          <w:szCs w:val="20"/>
        </w:rPr>
        <w:tab/>
      </w:r>
      <w:r w:rsidRPr="00D026FB">
        <w:rPr>
          <w:b/>
          <w:bCs/>
          <w:sz w:val="20"/>
          <w:szCs w:val="20"/>
          <w:u w:val="single"/>
        </w:rPr>
        <w:t>For</w:t>
      </w:r>
      <w:r w:rsidRPr="00B16B6E">
        <w:rPr>
          <w:b/>
          <w:bCs/>
          <w:sz w:val="20"/>
          <w:szCs w:val="20"/>
        </w:rPr>
        <w:tab/>
      </w:r>
      <w:r w:rsidRPr="00D026FB">
        <w:rPr>
          <w:b/>
          <w:bCs/>
          <w:sz w:val="20"/>
          <w:szCs w:val="20"/>
          <w:u w:val="single"/>
        </w:rPr>
        <w:t>Against</w:t>
      </w:r>
      <w:r w:rsidRPr="00B16B6E">
        <w:rPr>
          <w:b/>
          <w:bCs/>
          <w:sz w:val="20"/>
          <w:szCs w:val="20"/>
        </w:rPr>
        <w:tab/>
      </w:r>
      <w:r w:rsidRPr="00D026FB">
        <w:rPr>
          <w:b/>
          <w:bCs/>
          <w:sz w:val="20"/>
          <w:szCs w:val="20"/>
          <w:u w:val="single"/>
        </w:rPr>
        <w:t>Abstain</w:t>
      </w:r>
    </w:p>
    <w:p w14:paraId="12F36AC6" w14:textId="3F75C9EB" w:rsidR="00D026FB" w:rsidRDefault="00D026FB" w:rsidP="00D026FB">
      <w:pPr>
        <w:tabs>
          <w:tab w:val="decimal" w:pos="1440"/>
          <w:tab w:val="decimal" w:pos="3600"/>
          <w:tab w:val="decimal" w:pos="5760"/>
        </w:tabs>
        <w:ind w:left="180" w:right="144"/>
        <w:jc w:val="both"/>
        <w:rPr>
          <w:sz w:val="20"/>
          <w:szCs w:val="20"/>
        </w:rPr>
      </w:pPr>
      <w:r>
        <w:rPr>
          <w:sz w:val="20"/>
          <w:szCs w:val="20"/>
        </w:rPr>
        <w:tab/>
        <w:t>4,266,217</w:t>
      </w:r>
      <w:r>
        <w:rPr>
          <w:sz w:val="20"/>
          <w:szCs w:val="20"/>
        </w:rPr>
        <w:tab/>
        <w:t>1,579,393</w:t>
      </w:r>
      <w:r>
        <w:rPr>
          <w:sz w:val="20"/>
          <w:szCs w:val="20"/>
        </w:rPr>
        <w:tab/>
        <w:t>161,699</w:t>
      </w:r>
    </w:p>
    <w:p w14:paraId="2A4B94C3" w14:textId="77777777" w:rsidR="00D026FB" w:rsidRDefault="00D026FB" w:rsidP="00C77C70">
      <w:pPr>
        <w:ind w:left="144" w:right="144"/>
        <w:jc w:val="both"/>
        <w:rPr>
          <w:sz w:val="20"/>
          <w:szCs w:val="20"/>
        </w:rPr>
      </w:pPr>
    </w:p>
    <w:p w14:paraId="492B014C" w14:textId="3ADA9661" w:rsidR="00F243C8" w:rsidRDefault="00F243C8" w:rsidP="00F243C8">
      <w:pPr>
        <w:ind w:left="144" w:right="144"/>
        <w:jc w:val="both"/>
        <w:rPr>
          <w:b/>
          <w:sz w:val="20"/>
          <w:szCs w:val="20"/>
        </w:rPr>
      </w:pPr>
      <w:r>
        <w:rPr>
          <w:b/>
          <w:sz w:val="20"/>
          <w:szCs w:val="20"/>
        </w:rPr>
        <w:lastRenderedPageBreak/>
        <w:t>Advisory Vote on the Frequency of Future Advisory Votes on the Compensation of our Named Executive Officers</w:t>
      </w:r>
    </w:p>
    <w:p w14:paraId="11DD9881" w14:textId="77777777" w:rsidR="00F243C8" w:rsidRDefault="00F243C8" w:rsidP="00F243C8">
      <w:pPr>
        <w:ind w:left="144" w:right="144"/>
        <w:jc w:val="both"/>
        <w:rPr>
          <w:b/>
          <w:sz w:val="20"/>
          <w:szCs w:val="20"/>
        </w:rPr>
      </w:pPr>
    </w:p>
    <w:p w14:paraId="7D3042CF" w14:textId="26C99CF5" w:rsidR="00F243C8" w:rsidRDefault="00F243C8" w:rsidP="00F243C8">
      <w:pPr>
        <w:ind w:left="144" w:right="144"/>
        <w:jc w:val="both"/>
        <w:rPr>
          <w:sz w:val="20"/>
          <w:szCs w:val="20"/>
        </w:rPr>
      </w:pPr>
      <w:r>
        <w:rPr>
          <w:sz w:val="20"/>
          <w:szCs w:val="20"/>
        </w:rPr>
        <w:t>Our stockholders approved, on an advisory basis,</w:t>
      </w:r>
      <w:r w:rsidR="00D026FB">
        <w:rPr>
          <w:sz w:val="20"/>
          <w:szCs w:val="20"/>
        </w:rPr>
        <w:t xml:space="preserve"> </w:t>
      </w:r>
      <w:r w:rsidR="00777838">
        <w:rPr>
          <w:sz w:val="20"/>
          <w:szCs w:val="20"/>
        </w:rPr>
        <w:t xml:space="preserve">the </w:t>
      </w:r>
      <w:r w:rsidR="002A6832">
        <w:rPr>
          <w:sz w:val="20"/>
          <w:szCs w:val="20"/>
        </w:rPr>
        <w:t xml:space="preserve">frequency of future advisory votes on </w:t>
      </w:r>
      <w:r>
        <w:rPr>
          <w:sz w:val="20"/>
          <w:szCs w:val="20"/>
        </w:rPr>
        <w:t xml:space="preserve">the compensation of our Named Executive Officers (as defined in the Proxy Statement). </w:t>
      </w:r>
      <w:r w:rsidR="00777838">
        <w:rPr>
          <w:color w:val="000000"/>
          <w:sz w:val="20"/>
          <w:szCs w:val="20"/>
        </w:rPr>
        <w:t>The determination was to hold such advisory votes on a three-year cycle</w:t>
      </w:r>
      <w:r>
        <w:rPr>
          <w:sz w:val="20"/>
          <w:szCs w:val="20"/>
        </w:rPr>
        <w:t>.</w:t>
      </w:r>
    </w:p>
    <w:p w14:paraId="5BDA3F58" w14:textId="77777777" w:rsidR="00D026FB" w:rsidRDefault="00D026FB" w:rsidP="00F243C8">
      <w:pPr>
        <w:ind w:left="144" w:right="144"/>
        <w:jc w:val="both"/>
        <w:rPr>
          <w:sz w:val="20"/>
          <w:szCs w:val="20"/>
        </w:rPr>
      </w:pPr>
    </w:p>
    <w:p w14:paraId="10A794F2" w14:textId="33C4B70C" w:rsidR="00D026FB" w:rsidRPr="00D026FB" w:rsidRDefault="00D026FB" w:rsidP="00D026FB">
      <w:pPr>
        <w:tabs>
          <w:tab w:val="center" w:pos="720"/>
          <w:tab w:val="center" w:pos="2880"/>
          <w:tab w:val="center" w:pos="5040"/>
          <w:tab w:val="center" w:pos="7200"/>
        </w:tabs>
        <w:ind w:right="144"/>
        <w:jc w:val="both"/>
        <w:rPr>
          <w:b/>
          <w:bCs/>
          <w:sz w:val="20"/>
          <w:szCs w:val="20"/>
        </w:rPr>
      </w:pPr>
      <w:r w:rsidRPr="00D026FB">
        <w:rPr>
          <w:b/>
          <w:bCs/>
          <w:sz w:val="20"/>
          <w:szCs w:val="20"/>
        </w:rPr>
        <w:tab/>
      </w:r>
      <w:r w:rsidRPr="00D026FB">
        <w:rPr>
          <w:b/>
          <w:bCs/>
          <w:sz w:val="20"/>
          <w:szCs w:val="20"/>
          <w:u w:val="single"/>
        </w:rPr>
        <w:t>1 Year</w:t>
      </w:r>
      <w:r w:rsidRPr="00D026FB">
        <w:rPr>
          <w:b/>
          <w:bCs/>
          <w:sz w:val="20"/>
          <w:szCs w:val="20"/>
        </w:rPr>
        <w:tab/>
      </w:r>
      <w:r w:rsidRPr="00D026FB">
        <w:rPr>
          <w:b/>
          <w:bCs/>
          <w:sz w:val="20"/>
          <w:szCs w:val="20"/>
          <w:u w:val="single"/>
        </w:rPr>
        <w:t>2 Years</w:t>
      </w:r>
      <w:r w:rsidRPr="00D026FB">
        <w:rPr>
          <w:b/>
          <w:bCs/>
          <w:sz w:val="20"/>
          <w:szCs w:val="20"/>
        </w:rPr>
        <w:tab/>
      </w:r>
      <w:r w:rsidRPr="00D026FB">
        <w:rPr>
          <w:b/>
          <w:bCs/>
          <w:sz w:val="20"/>
          <w:szCs w:val="20"/>
          <w:u w:val="single"/>
        </w:rPr>
        <w:t>3 Years</w:t>
      </w:r>
      <w:r w:rsidRPr="00D026FB">
        <w:rPr>
          <w:b/>
          <w:bCs/>
          <w:sz w:val="20"/>
          <w:szCs w:val="20"/>
        </w:rPr>
        <w:tab/>
      </w:r>
      <w:r w:rsidRPr="00D026FB">
        <w:rPr>
          <w:b/>
          <w:bCs/>
          <w:sz w:val="20"/>
          <w:szCs w:val="20"/>
          <w:u w:val="single"/>
        </w:rPr>
        <w:t>Abstain</w:t>
      </w:r>
    </w:p>
    <w:p w14:paraId="2FFAFD5F" w14:textId="1A9B9545" w:rsidR="00D026FB" w:rsidRDefault="00D026FB" w:rsidP="00D026FB">
      <w:pPr>
        <w:tabs>
          <w:tab w:val="decimal" w:pos="1080"/>
          <w:tab w:val="decimal" w:pos="3240"/>
          <w:tab w:val="decimal" w:pos="5400"/>
          <w:tab w:val="decimal" w:pos="7560"/>
        </w:tabs>
        <w:ind w:right="144"/>
        <w:jc w:val="both"/>
        <w:rPr>
          <w:sz w:val="20"/>
          <w:szCs w:val="20"/>
        </w:rPr>
      </w:pPr>
      <w:r>
        <w:rPr>
          <w:sz w:val="20"/>
          <w:szCs w:val="20"/>
        </w:rPr>
        <w:tab/>
        <w:t>2,365,390</w:t>
      </w:r>
      <w:r>
        <w:rPr>
          <w:sz w:val="20"/>
          <w:szCs w:val="20"/>
        </w:rPr>
        <w:tab/>
        <w:t>476,001</w:t>
      </w:r>
      <w:r>
        <w:rPr>
          <w:sz w:val="20"/>
          <w:szCs w:val="20"/>
        </w:rPr>
        <w:tab/>
        <w:t>2,796,560</w:t>
      </w:r>
      <w:r>
        <w:rPr>
          <w:sz w:val="20"/>
          <w:szCs w:val="20"/>
        </w:rPr>
        <w:tab/>
        <w:t>369,358</w:t>
      </w:r>
    </w:p>
    <w:p w14:paraId="48D75945" w14:textId="77777777" w:rsidR="00C77C70" w:rsidRDefault="00C77C70" w:rsidP="00820274">
      <w:pPr>
        <w:pStyle w:val="NormalWeb"/>
        <w:shd w:val="clear" w:color="auto" w:fill="FFFFFF"/>
        <w:spacing w:before="0" w:beforeAutospacing="0" w:after="0" w:afterAutospacing="0"/>
        <w:jc w:val="both"/>
        <w:rPr>
          <w:color w:val="000000"/>
          <w:sz w:val="20"/>
          <w:szCs w:val="20"/>
        </w:rPr>
      </w:pPr>
    </w:p>
    <w:p w14:paraId="6CACA5E5" w14:textId="77777777" w:rsidR="00C77C70" w:rsidRDefault="00C77C70" w:rsidP="00820274">
      <w:pPr>
        <w:pStyle w:val="NormalWeb"/>
        <w:shd w:val="clear" w:color="auto" w:fill="FFFFFF"/>
        <w:spacing w:before="0" w:beforeAutospacing="0" w:after="0" w:afterAutospacing="0"/>
        <w:jc w:val="both"/>
        <w:rPr>
          <w:color w:val="000000"/>
          <w:sz w:val="20"/>
          <w:szCs w:val="20"/>
        </w:rPr>
      </w:pPr>
    </w:p>
    <w:p w14:paraId="00A3787B"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Item 9.01 Financial Statements and Exhibits.</w:t>
      </w:r>
    </w:p>
    <w:p w14:paraId="1A51B9B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4C4E4958"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(d) </w:t>
      </w:r>
      <w:r>
        <w:rPr>
          <w:color w:val="000000"/>
          <w:sz w:val="20"/>
          <w:szCs w:val="20"/>
          <w:u w:val="single"/>
        </w:rPr>
        <w:t>Exhibits</w:t>
      </w:r>
      <w:r>
        <w:rPr>
          <w:color w:val="000000"/>
          <w:sz w:val="20"/>
          <w:szCs w:val="20"/>
        </w:rPr>
        <w:t>.</w:t>
      </w:r>
    </w:p>
    <w:p w14:paraId="72608C38"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1440"/>
        <w:gridCol w:w="216"/>
        <w:gridCol w:w="8424"/>
      </w:tblGrid>
      <w:tr w:rsidR="00820274" w14:paraId="3D870438" w14:textId="77777777" w:rsidTr="00296FD2">
        <w:tc>
          <w:tcPr>
            <w:tcW w:w="1440" w:type="dxa"/>
            <w:tcBorders>
              <w:bottom w:val="single" w:sz="12" w:space="0" w:color="000000"/>
            </w:tcBorders>
            <w:shd w:val="clear" w:color="auto" w:fill="FFFFFF"/>
            <w:hideMark/>
          </w:tcPr>
          <w:p w14:paraId="7CF0415E" w14:textId="77777777" w:rsidR="00820274" w:rsidRDefault="00820274">
            <w:pPr>
              <w:pStyle w:val="NormalWeb"/>
              <w:spacing w:before="0" w:beforeAutospacing="0" w:after="0" w:afterAutospacing="0"/>
              <w:rPr>
                <w:color w:val="000000"/>
                <w:sz w:val="20"/>
                <w:szCs w:val="20"/>
              </w:rPr>
            </w:pPr>
            <w:r>
              <w:rPr>
                <w:color w:val="000000"/>
                <w:sz w:val="20"/>
                <w:szCs w:val="20"/>
              </w:rPr>
              <w:t>Exhibit Number</w:t>
            </w:r>
          </w:p>
        </w:tc>
        <w:tc>
          <w:tcPr>
            <w:tcW w:w="216" w:type="dxa"/>
            <w:shd w:val="clear" w:color="auto" w:fill="FFFFFF"/>
            <w:tcMar>
              <w:top w:w="0" w:type="dxa"/>
              <w:left w:w="0" w:type="dxa"/>
              <w:bottom w:w="30" w:type="dxa"/>
              <w:right w:w="0" w:type="dxa"/>
            </w:tcMar>
            <w:hideMark/>
          </w:tcPr>
          <w:p w14:paraId="2808AB43" w14:textId="77777777" w:rsidR="00820274" w:rsidRDefault="00820274">
            <w:pPr>
              <w:rPr>
                <w:color w:val="000000"/>
                <w:sz w:val="20"/>
                <w:szCs w:val="20"/>
              </w:rPr>
            </w:pPr>
            <w:r>
              <w:rPr>
                <w:color w:val="000000"/>
                <w:sz w:val="20"/>
                <w:szCs w:val="20"/>
              </w:rPr>
              <w:t> </w:t>
            </w:r>
          </w:p>
        </w:tc>
        <w:tc>
          <w:tcPr>
            <w:tcW w:w="0" w:type="auto"/>
            <w:tcBorders>
              <w:bottom w:val="single" w:sz="12" w:space="0" w:color="000000"/>
            </w:tcBorders>
            <w:shd w:val="clear" w:color="auto" w:fill="FFFFFF"/>
            <w:hideMark/>
          </w:tcPr>
          <w:p w14:paraId="6F9EE368" w14:textId="77777777" w:rsidR="00820274" w:rsidRDefault="00820274">
            <w:pPr>
              <w:rPr>
                <w:color w:val="000000"/>
                <w:sz w:val="20"/>
                <w:szCs w:val="20"/>
              </w:rPr>
            </w:pPr>
            <w:r>
              <w:rPr>
                <w:color w:val="000000"/>
                <w:sz w:val="20"/>
                <w:szCs w:val="20"/>
              </w:rPr>
              <w:t>Description</w:t>
            </w:r>
          </w:p>
        </w:tc>
      </w:tr>
      <w:tr w:rsidR="00820274" w14:paraId="709360A9" w14:textId="77777777" w:rsidTr="00296FD2">
        <w:tc>
          <w:tcPr>
            <w:tcW w:w="0" w:type="auto"/>
            <w:shd w:val="clear" w:color="auto" w:fill="FFFFFF"/>
            <w:hideMark/>
          </w:tcPr>
          <w:p w14:paraId="13DCC5DB" w14:textId="77777777" w:rsidR="00820274" w:rsidRDefault="00820274">
            <w:pPr>
              <w:rPr>
                <w:color w:val="000000"/>
                <w:sz w:val="20"/>
                <w:szCs w:val="20"/>
              </w:rPr>
            </w:pPr>
            <w:r>
              <w:rPr>
                <w:color w:val="000000"/>
                <w:sz w:val="20"/>
                <w:szCs w:val="20"/>
              </w:rPr>
              <w:t>104</w:t>
            </w:r>
          </w:p>
        </w:tc>
        <w:tc>
          <w:tcPr>
            <w:tcW w:w="0" w:type="auto"/>
            <w:shd w:val="clear" w:color="auto" w:fill="FFFFFF"/>
            <w:hideMark/>
          </w:tcPr>
          <w:p w14:paraId="179F1D15"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4E2B5CC9" w14:textId="77777777" w:rsidR="00820274" w:rsidRDefault="00820274">
            <w:pPr>
              <w:rPr>
                <w:color w:val="000000"/>
                <w:sz w:val="20"/>
                <w:szCs w:val="20"/>
              </w:rPr>
            </w:pPr>
            <w:r>
              <w:rPr>
                <w:color w:val="000000"/>
                <w:sz w:val="20"/>
                <w:szCs w:val="20"/>
              </w:rPr>
              <w:t>Cover Page Interactive Data File (embedded within the Inline XBRL document)</w:t>
            </w:r>
          </w:p>
        </w:tc>
      </w:tr>
    </w:tbl>
    <w:p w14:paraId="60F024D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b/>
          <w:bCs/>
          <w:color w:val="000000"/>
          <w:sz w:val="20"/>
          <w:szCs w:val="20"/>
        </w:rPr>
        <w:t> </w:t>
      </w:r>
    </w:p>
    <w:p w14:paraId="691BE193" w14:textId="6D1D6DDC" w:rsidR="00820274" w:rsidRDefault="00820274" w:rsidP="00820274">
      <w:pPr>
        <w:pStyle w:val="NormalWeb"/>
        <w:shd w:val="clear" w:color="auto" w:fill="FFFFFF"/>
        <w:spacing w:before="0" w:beforeAutospacing="0" w:after="0" w:afterAutospacing="0"/>
        <w:rPr>
          <w:color w:val="000000"/>
          <w:sz w:val="27"/>
          <w:szCs w:val="27"/>
        </w:rPr>
      </w:pPr>
    </w:p>
    <w:p w14:paraId="6DA9A20F" w14:textId="1D0C87D6" w:rsidR="00820274" w:rsidRDefault="00820274" w:rsidP="00D56E8E">
      <w:pPr>
        <w:pStyle w:val="NormalWeb"/>
        <w:shd w:val="clear" w:color="auto" w:fill="FFFFFF"/>
        <w:spacing w:before="0" w:beforeAutospacing="0" w:after="0" w:afterAutospacing="0"/>
        <w:rPr>
          <w:color w:val="000000"/>
          <w:sz w:val="20"/>
          <w:szCs w:val="20"/>
        </w:rPr>
      </w:pPr>
    </w:p>
    <w:p w14:paraId="689EB46D" w14:textId="77777777" w:rsidR="00D56E8E" w:rsidRDefault="00D56E8E" w:rsidP="00D56E8E">
      <w:pPr>
        <w:pStyle w:val="NormalWeb"/>
        <w:shd w:val="clear" w:color="auto" w:fill="FFFFFF"/>
        <w:spacing w:before="0" w:beforeAutospacing="0" w:after="0" w:afterAutospacing="0"/>
        <w:rPr>
          <w:color w:val="000000"/>
          <w:sz w:val="20"/>
          <w:szCs w:val="20"/>
        </w:rPr>
      </w:pPr>
    </w:p>
    <w:p w14:paraId="675EA845" w14:textId="77777777" w:rsidR="00D56E8E" w:rsidRDefault="00D56E8E" w:rsidP="00D56E8E">
      <w:pPr>
        <w:pStyle w:val="NormalWeb"/>
        <w:shd w:val="clear" w:color="auto" w:fill="FFFFFF"/>
        <w:spacing w:before="0" w:beforeAutospacing="0" w:after="0" w:afterAutospacing="0"/>
        <w:rPr>
          <w:color w:val="000000"/>
          <w:sz w:val="20"/>
          <w:szCs w:val="20"/>
        </w:rPr>
      </w:pPr>
    </w:p>
    <w:p w14:paraId="1FBB1B9A" w14:textId="619D40C9" w:rsidR="00820274" w:rsidRDefault="00820274" w:rsidP="00820274">
      <w:pPr>
        <w:pStyle w:val="NormalWeb"/>
        <w:shd w:val="clear" w:color="auto" w:fill="FFFFFF"/>
        <w:spacing w:before="0" w:beforeAutospacing="0" w:after="0" w:afterAutospacing="0"/>
        <w:jc w:val="center"/>
        <w:rPr>
          <w:color w:val="000000"/>
          <w:sz w:val="20"/>
          <w:szCs w:val="20"/>
        </w:rPr>
      </w:pPr>
      <w:r>
        <w:rPr>
          <w:b/>
          <w:bCs/>
          <w:color w:val="000000"/>
          <w:sz w:val="20"/>
          <w:szCs w:val="20"/>
          <w:shd w:val="clear" w:color="auto" w:fill="FFFFFF"/>
        </w:rPr>
        <w:t>SIGNATURES</w:t>
      </w:r>
    </w:p>
    <w:p w14:paraId="681EAA0D"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7B6E9D05" w14:textId="77777777" w:rsidR="00820274" w:rsidRDefault="00820274" w:rsidP="00A86447">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Pursuant to the requirements of the Securities Exchange Act of 1934, the registrant has duly caused this report to be signed on its behalf by the undersigned thereunto duly authorized.</w:t>
      </w:r>
    </w:p>
    <w:p w14:paraId="5D8AC306"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F68A0E9" w14:textId="6B971C6D"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shd w:val="clear" w:color="auto" w:fill="FFFFFF"/>
        </w:rPr>
        <w:t xml:space="preserve">Date: </w:t>
      </w:r>
      <w:r w:rsidR="00F243C8">
        <w:rPr>
          <w:color w:val="000000"/>
          <w:sz w:val="20"/>
          <w:szCs w:val="20"/>
          <w:shd w:val="clear" w:color="auto" w:fill="FFFFFF"/>
        </w:rPr>
        <w:t>August</w:t>
      </w:r>
      <w:r>
        <w:rPr>
          <w:color w:val="000000"/>
          <w:sz w:val="20"/>
          <w:szCs w:val="20"/>
          <w:shd w:val="clear" w:color="auto" w:fill="FFFFFF"/>
        </w:rPr>
        <w:t xml:space="preserve"> </w:t>
      </w:r>
      <w:r w:rsidR="00777838">
        <w:rPr>
          <w:color w:val="000000"/>
          <w:sz w:val="20"/>
          <w:szCs w:val="20"/>
          <w:shd w:val="clear" w:color="auto" w:fill="FFFFFF"/>
        </w:rPr>
        <w:t>2</w:t>
      </w:r>
      <w:r>
        <w:rPr>
          <w:color w:val="000000"/>
          <w:sz w:val="20"/>
          <w:szCs w:val="20"/>
          <w:shd w:val="clear" w:color="auto" w:fill="FFFFFF"/>
        </w:rPr>
        <w:t>, 2023</w:t>
      </w:r>
    </w:p>
    <w:p w14:paraId="5BF1DB6A" w14:textId="77777777" w:rsidR="00820274" w:rsidRDefault="00820274" w:rsidP="00820274">
      <w:pPr>
        <w:pStyle w:val="NormalWeb"/>
        <w:shd w:val="clear" w:color="auto" w:fill="FFFFFF"/>
        <w:spacing w:before="0" w:beforeAutospacing="0" w:after="0" w:afterAutospacing="0"/>
        <w:rPr>
          <w:color w:val="000000"/>
          <w:sz w:val="20"/>
          <w:szCs w:val="20"/>
        </w:rPr>
      </w:pPr>
      <w:r>
        <w:rPr>
          <w:color w:val="000000"/>
          <w:sz w:val="20"/>
          <w:szCs w:val="20"/>
        </w:rPr>
        <w:t> </w:t>
      </w:r>
    </w:p>
    <w:tbl>
      <w:tblPr>
        <w:tblW w:w="10080" w:type="dxa"/>
        <w:shd w:val="clear" w:color="auto" w:fill="FFFFFF"/>
        <w:tblCellMar>
          <w:left w:w="0" w:type="dxa"/>
          <w:right w:w="0" w:type="dxa"/>
        </w:tblCellMar>
        <w:tblLook w:val="04A0" w:firstRow="1" w:lastRow="0" w:firstColumn="1" w:lastColumn="0" w:noHBand="0" w:noVBand="1"/>
      </w:tblPr>
      <w:tblGrid>
        <w:gridCol w:w="4800"/>
        <w:gridCol w:w="426"/>
        <w:gridCol w:w="4854"/>
      </w:tblGrid>
      <w:tr w:rsidR="00820274" w14:paraId="2F89A97D" w14:textId="77777777" w:rsidTr="00296FD2">
        <w:tc>
          <w:tcPr>
            <w:tcW w:w="0" w:type="auto"/>
            <w:shd w:val="clear" w:color="auto" w:fill="FFFFFF"/>
            <w:hideMark/>
          </w:tcPr>
          <w:p w14:paraId="687B6A5D" w14:textId="77777777" w:rsidR="00820274" w:rsidRDefault="00820274">
            <w:pPr>
              <w:rPr>
                <w:color w:val="000000"/>
                <w:sz w:val="20"/>
                <w:szCs w:val="20"/>
              </w:rPr>
            </w:pPr>
            <w:r>
              <w:rPr>
                <w:color w:val="000000"/>
                <w:sz w:val="20"/>
                <w:szCs w:val="20"/>
              </w:rPr>
              <w:t> </w:t>
            </w:r>
          </w:p>
        </w:tc>
        <w:tc>
          <w:tcPr>
            <w:tcW w:w="0" w:type="auto"/>
            <w:gridSpan w:val="2"/>
            <w:shd w:val="clear" w:color="auto" w:fill="FFFFFF"/>
            <w:hideMark/>
          </w:tcPr>
          <w:p w14:paraId="61AC7176" w14:textId="1B311D74" w:rsidR="00820274" w:rsidRDefault="00820274">
            <w:pPr>
              <w:rPr>
                <w:color w:val="000000"/>
                <w:sz w:val="20"/>
                <w:szCs w:val="20"/>
              </w:rPr>
            </w:pPr>
            <w:r>
              <w:rPr>
                <w:color w:val="000000"/>
                <w:sz w:val="20"/>
                <w:szCs w:val="20"/>
              </w:rPr>
              <w:t>GEOVAX LABS, INC.</w:t>
            </w:r>
          </w:p>
        </w:tc>
      </w:tr>
      <w:tr w:rsidR="00820274" w14:paraId="29E173E2" w14:textId="77777777" w:rsidTr="00296FD2">
        <w:tc>
          <w:tcPr>
            <w:tcW w:w="9250" w:type="dxa"/>
            <w:shd w:val="clear" w:color="auto" w:fill="FFFFFF"/>
            <w:hideMark/>
          </w:tcPr>
          <w:p w14:paraId="4F37F048" w14:textId="77777777" w:rsidR="00820274" w:rsidRDefault="00820274">
            <w:pPr>
              <w:rPr>
                <w:color w:val="000000"/>
                <w:sz w:val="20"/>
                <w:szCs w:val="20"/>
              </w:rPr>
            </w:pPr>
            <w:r>
              <w:rPr>
                <w:color w:val="000000"/>
                <w:sz w:val="20"/>
                <w:szCs w:val="20"/>
              </w:rPr>
              <w:t> </w:t>
            </w:r>
          </w:p>
        </w:tc>
        <w:tc>
          <w:tcPr>
            <w:tcW w:w="555" w:type="dxa"/>
            <w:shd w:val="clear" w:color="auto" w:fill="FFFFFF"/>
            <w:hideMark/>
          </w:tcPr>
          <w:p w14:paraId="3009EC20" w14:textId="77777777" w:rsidR="00820274" w:rsidRDefault="00820274">
            <w:pPr>
              <w:rPr>
                <w:color w:val="000000"/>
                <w:sz w:val="20"/>
                <w:szCs w:val="20"/>
              </w:rPr>
            </w:pPr>
            <w:r>
              <w:rPr>
                <w:color w:val="000000"/>
                <w:sz w:val="20"/>
                <w:szCs w:val="20"/>
              </w:rPr>
              <w:t> </w:t>
            </w:r>
          </w:p>
        </w:tc>
        <w:tc>
          <w:tcPr>
            <w:tcW w:w="8695" w:type="dxa"/>
            <w:shd w:val="clear" w:color="auto" w:fill="FFFFFF"/>
            <w:hideMark/>
          </w:tcPr>
          <w:p w14:paraId="07B445AB" w14:textId="77777777" w:rsidR="00820274" w:rsidRDefault="00820274">
            <w:pPr>
              <w:rPr>
                <w:color w:val="000000"/>
                <w:sz w:val="20"/>
                <w:szCs w:val="20"/>
              </w:rPr>
            </w:pPr>
            <w:r>
              <w:rPr>
                <w:color w:val="000000"/>
                <w:sz w:val="20"/>
                <w:szCs w:val="20"/>
              </w:rPr>
              <w:t> </w:t>
            </w:r>
          </w:p>
        </w:tc>
      </w:tr>
      <w:tr w:rsidR="00820274" w14:paraId="009C9DE3" w14:textId="77777777" w:rsidTr="00296FD2">
        <w:tc>
          <w:tcPr>
            <w:tcW w:w="0" w:type="auto"/>
            <w:shd w:val="clear" w:color="auto" w:fill="FFFFFF"/>
            <w:hideMark/>
          </w:tcPr>
          <w:p w14:paraId="492778DF"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0A54DFB4" w14:textId="77777777" w:rsidR="00820274" w:rsidRDefault="00820274">
            <w:pPr>
              <w:rPr>
                <w:color w:val="000000"/>
                <w:sz w:val="20"/>
                <w:szCs w:val="20"/>
              </w:rPr>
            </w:pPr>
            <w:r>
              <w:rPr>
                <w:color w:val="000000"/>
                <w:sz w:val="20"/>
                <w:szCs w:val="20"/>
              </w:rPr>
              <w:t>By:</w:t>
            </w:r>
          </w:p>
        </w:tc>
        <w:tc>
          <w:tcPr>
            <w:tcW w:w="0" w:type="auto"/>
            <w:tcBorders>
              <w:bottom w:val="single" w:sz="12" w:space="0" w:color="000000"/>
            </w:tcBorders>
            <w:shd w:val="clear" w:color="auto" w:fill="FFFFFF"/>
            <w:hideMark/>
          </w:tcPr>
          <w:p w14:paraId="7516A3F3" w14:textId="3D3751BE" w:rsidR="00820274" w:rsidRDefault="00820274">
            <w:pPr>
              <w:rPr>
                <w:color w:val="000000"/>
                <w:sz w:val="20"/>
                <w:szCs w:val="20"/>
              </w:rPr>
            </w:pPr>
            <w:r>
              <w:rPr>
                <w:i/>
                <w:iCs/>
                <w:color w:val="000000"/>
                <w:sz w:val="20"/>
                <w:szCs w:val="20"/>
              </w:rPr>
              <w:t xml:space="preserve">/s/ </w:t>
            </w:r>
            <w:r w:rsidRPr="00820274">
              <w:rPr>
                <w:i/>
                <w:iCs/>
                <w:color w:val="000000"/>
                <w:sz w:val="20"/>
                <w:szCs w:val="20"/>
              </w:rPr>
              <w:t>M</w:t>
            </w:r>
            <w:r w:rsidRPr="00296FD2">
              <w:rPr>
                <w:i/>
                <w:iCs/>
                <w:color w:val="000000"/>
                <w:sz w:val="20"/>
                <w:szCs w:val="20"/>
              </w:rPr>
              <w:t>ark W. Reynolds</w:t>
            </w:r>
          </w:p>
        </w:tc>
      </w:tr>
      <w:tr w:rsidR="00820274" w14:paraId="60E9CBC1" w14:textId="77777777" w:rsidTr="00296FD2">
        <w:tc>
          <w:tcPr>
            <w:tcW w:w="0" w:type="auto"/>
            <w:shd w:val="clear" w:color="auto" w:fill="FFFFFF"/>
            <w:hideMark/>
          </w:tcPr>
          <w:p w14:paraId="1361C3A4"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289B2A92"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63BCE6A9" w14:textId="71C48205" w:rsidR="00820274" w:rsidRDefault="00820274">
            <w:pPr>
              <w:rPr>
                <w:color w:val="000000"/>
                <w:sz w:val="20"/>
                <w:szCs w:val="20"/>
              </w:rPr>
            </w:pPr>
            <w:r>
              <w:rPr>
                <w:color w:val="000000"/>
                <w:sz w:val="20"/>
                <w:szCs w:val="20"/>
              </w:rPr>
              <w:t>Mark W. Reynolds</w:t>
            </w:r>
          </w:p>
        </w:tc>
      </w:tr>
      <w:tr w:rsidR="00820274" w14:paraId="62DEA771" w14:textId="77777777" w:rsidTr="00296FD2">
        <w:tc>
          <w:tcPr>
            <w:tcW w:w="0" w:type="auto"/>
            <w:shd w:val="clear" w:color="auto" w:fill="FFFFFF"/>
            <w:hideMark/>
          </w:tcPr>
          <w:p w14:paraId="043A91EB"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5FC9FF0" w14:textId="77777777" w:rsidR="00820274" w:rsidRDefault="00820274">
            <w:pPr>
              <w:rPr>
                <w:color w:val="000000"/>
                <w:sz w:val="20"/>
                <w:szCs w:val="20"/>
              </w:rPr>
            </w:pPr>
            <w:r>
              <w:rPr>
                <w:color w:val="000000"/>
                <w:sz w:val="20"/>
                <w:szCs w:val="20"/>
              </w:rPr>
              <w:t> </w:t>
            </w:r>
          </w:p>
        </w:tc>
        <w:tc>
          <w:tcPr>
            <w:tcW w:w="0" w:type="auto"/>
            <w:shd w:val="clear" w:color="auto" w:fill="FFFFFF"/>
            <w:hideMark/>
          </w:tcPr>
          <w:p w14:paraId="5790A389" w14:textId="6A563A6A" w:rsidR="00820274" w:rsidRDefault="00820274">
            <w:pPr>
              <w:rPr>
                <w:color w:val="000000"/>
                <w:sz w:val="20"/>
                <w:szCs w:val="20"/>
              </w:rPr>
            </w:pPr>
            <w:r>
              <w:rPr>
                <w:color w:val="000000"/>
                <w:sz w:val="20"/>
                <w:szCs w:val="20"/>
              </w:rPr>
              <w:t>Chief Financial Officer</w:t>
            </w:r>
          </w:p>
        </w:tc>
      </w:tr>
    </w:tbl>
    <w:p w14:paraId="12CA90BE" w14:textId="77777777" w:rsidR="00820274" w:rsidRDefault="00820274" w:rsidP="00820274">
      <w:pPr>
        <w:pStyle w:val="NormalWeb"/>
        <w:shd w:val="clear" w:color="auto" w:fill="FFFFFF"/>
        <w:spacing w:before="0" w:beforeAutospacing="0" w:after="0" w:afterAutospacing="0"/>
        <w:jc w:val="both"/>
        <w:rPr>
          <w:color w:val="000000"/>
          <w:sz w:val="20"/>
          <w:szCs w:val="20"/>
        </w:rPr>
      </w:pPr>
      <w:r>
        <w:rPr>
          <w:color w:val="000000"/>
          <w:sz w:val="20"/>
          <w:szCs w:val="20"/>
        </w:rPr>
        <w:t> </w:t>
      </w:r>
    </w:p>
    <w:p w14:paraId="2B519A86" w14:textId="2381A9CF" w:rsidR="004B3179" w:rsidRPr="008D7E3A" w:rsidRDefault="004B3179" w:rsidP="008D7E3A"/>
    <w:sectPr w:rsidR="004B3179" w:rsidRPr="008D7E3A" w:rsidSect="00811A15">
      <w:headerReference w:type="even" r:id="rId8"/>
      <w:headerReference w:type="default" r:id="rId9"/>
      <w:footerReference w:type="even" r:id="rId10"/>
      <w:footerReference w:type="default" r:id="rId11"/>
      <w:headerReference w:type="first" r:id="rId12"/>
      <w:footerReference w:type="first" r:id="rId13"/>
      <w:pgSz w:w="12240" w:h="15840"/>
      <w:pgMar w:top="1008" w:right="720" w:bottom="1008" w:left="720" w:header="144"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419C" w14:textId="77777777" w:rsidR="00362213" w:rsidRDefault="00362213" w:rsidP="004422FB">
      <w:r>
        <w:separator/>
      </w:r>
    </w:p>
  </w:endnote>
  <w:endnote w:type="continuationSeparator" w:id="0">
    <w:p w14:paraId="52D6E97A" w14:textId="77777777" w:rsidR="00362213" w:rsidRDefault="00362213"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7448" w14:textId="77777777" w:rsidR="002F020C" w:rsidRDefault="002F0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22F65163" w14:textId="77777777" w:rsidR="008A5F28" w:rsidRDefault="008A5F28" w:rsidP="004422FB">
    <w:pPr>
      <w:pStyle w:val="Footer"/>
    </w:pPr>
  </w:p>
  <w:p w14:paraId="00D1A497" w14:textId="3F13EF94" w:rsidR="004422FB" w:rsidRDefault="004422FB" w:rsidP="008A5F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C0C3" w14:textId="77777777" w:rsidR="002F020C" w:rsidRDefault="002F0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AF37" w14:textId="77777777" w:rsidR="00362213" w:rsidRDefault="00362213" w:rsidP="004422FB">
      <w:r>
        <w:separator/>
      </w:r>
    </w:p>
  </w:footnote>
  <w:footnote w:type="continuationSeparator" w:id="0">
    <w:p w14:paraId="13D71784" w14:textId="77777777" w:rsidR="00362213" w:rsidRDefault="00362213"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2558" w14:textId="77777777" w:rsidR="002F020C" w:rsidRDefault="002F0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FF51" w14:textId="77777777" w:rsidR="002F020C" w:rsidRDefault="002F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A308" w14:textId="77777777" w:rsidR="002F020C" w:rsidRDefault="002F0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926695">
    <w:abstractNumId w:val="0"/>
  </w:num>
  <w:num w:numId="2" w16cid:durableId="1848707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5EA2"/>
    <w:rsid w:val="00096511"/>
    <w:rsid w:val="00097DB1"/>
    <w:rsid w:val="000E6508"/>
    <w:rsid w:val="00134BBC"/>
    <w:rsid w:val="00144D4F"/>
    <w:rsid w:val="00172B54"/>
    <w:rsid w:val="001841FE"/>
    <w:rsid w:val="001A687F"/>
    <w:rsid w:val="001D3520"/>
    <w:rsid w:val="002049D0"/>
    <w:rsid w:val="00241DEF"/>
    <w:rsid w:val="00246139"/>
    <w:rsid w:val="00277674"/>
    <w:rsid w:val="00296BF7"/>
    <w:rsid w:val="00296FD2"/>
    <w:rsid w:val="002A6832"/>
    <w:rsid w:val="002E7A44"/>
    <w:rsid w:val="002F020C"/>
    <w:rsid w:val="00304DE8"/>
    <w:rsid w:val="0035505A"/>
    <w:rsid w:val="00362213"/>
    <w:rsid w:val="0036369E"/>
    <w:rsid w:val="00376DEC"/>
    <w:rsid w:val="003B3474"/>
    <w:rsid w:val="003B670F"/>
    <w:rsid w:val="003E72CB"/>
    <w:rsid w:val="003F3DEB"/>
    <w:rsid w:val="00401F33"/>
    <w:rsid w:val="00404B0F"/>
    <w:rsid w:val="00414E31"/>
    <w:rsid w:val="004422FB"/>
    <w:rsid w:val="004453D5"/>
    <w:rsid w:val="004562CE"/>
    <w:rsid w:val="00494777"/>
    <w:rsid w:val="004B3179"/>
    <w:rsid w:val="004C50C2"/>
    <w:rsid w:val="004D4E0A"/>
    <w:rsid w:val="00552D47"/>
    <w:rsid w:val="00583D37"/>
    <w:rsid w:val="005A1F60"/>
    <w:rsid w:val="00652DCC"/>
    <w:rsid w:val="00677F25"/>
    <w:rsid w:val="00691E45"/>
    <w:rsid w:val="006A30B4"/>
    <w:rsid w:val="006B4011"/>
    <w:rsid w:val="006C4831"/>
    <w:rsid w:val="006E7AA3"/>
    <w:rsid w:val="007150B5"/>
    <w:rsid w:val="00716A75"/>
    <w:rsid w:val="00725E35"/>
    <w:rsid w:val="00734084"/>
    <w:rsid w:val="00766EB9"/>
    <w:rsid w:val="00777838"/>
    <w:rsid w:val="007B5113"/>
    <w:rsid w:val="007D058F"/>
    <w:rsid w:val="007E3D57"/>
    <w:rsid w:val="008108DD"/>
    <w:rsid w:val="00811A15"/>
    <w:rsid w:val="00820274"/>
    <w:rsid w:val="00846F5B"/>
    <w:rsid w:val="0089446A"/>
    <w:rsid w:val="008A5F28"/>
    <w:rsid w:val="008B7616"/>
    <w:rsid w:val="008D7E3A"/>
    <w:rsid w:val="008E4E77"/>
    <w:rsid w:val="00903941"/>
    <w:rsid w:val="00922B4A"/>
    <w:rsid w:val="00922FCF"/>
    <w:rsid w:val="0095070C"/>
    <w:rsid w:val="009B15B2"/>
    <w:rsid w:val="009B27D7"/>
    <w:rsid w:val="009F16FD"/>
    <w:rsid w:val="009F32C7"/>
    <w:rsid w:val="009F7B30"/>
    <w:rsid w:val="00A213F5"/>
    <w:rsid w:val="00A30573"/>
    <w:rsid w:val="00A7343F"/>
    <w:rsid w:val="00A7489D"/>
    <w:rsid w:val="00A7711D"/>
    <w:rsid w:val="00A86447"/>
    <w:rsid w:val="00AA3D35"/>
    <w:rsid w:val="00B16B6E"/>
    <w:rsid w:val="00B44E7B"/>
    <w:rsid w:val="00B4616E"/>
    <w:rsid w:val="00B51502"/>
    <w:rsid w:val="00B61191"/>
    <w:rsid w:val="00B66AAD"/>
    <w:rsid w:val="00B66B45"/>
    <w:rsid w:val="00BB7014"/>
    <w:rsid w:val="00BC0F2B"/>
    <w:rsid w:val="00BC6263"/>
    <w:rsid w:val="00BC6551"/>
    <w:rsid w:val="00BF415F"/>
    <w:rsid w:val="00C36B57"/>
    <w:rsid w:val="00C438BC"/>
    <w:rsid w:val="00C528BC"/>
    <w:rsid w:val="00C53991"/>
    <w:rsid w:val="00C77C70"/>
    <w:rsid w:val="00C815CE"/>
    <w:rsid w:val="00CB1EAA"/>
    <w:rsid w:val="00CB3D5C"/>
    <w:rsid w:val="00CC52F4"/>
    <w:rsid w:val="00CD55C2"/>
    <w:rsid w:val="00CE3919"/>
    <w:rsid w:val="00CE3B4D"/>
    <w:rsid w:val="00D026FB"/>
    <w:rsid w:val="00D128D7"/>
    <w:rsid w:val="00D17971"/>
    <w:rsid w:val="00D46FAD"/>
    <w:rsid w:val="00D56E8E"/>
    <w:rsid w:val="00D60567"/>
    <w:rsid w:val="00D95C48"/>
    <w:rsid w:val="00DA49BC"/>
    <w:rsid w:val="00DB638C"/>
    <w:rsid w:val="00DE728B"/>
    <w:rsid w:val="00E00577"/>
    <w:rsid w:val="00E115D3"/>
    <w:rsid w:val="00E633E7"/>
    <w:rsid w:val="00EB5CF9"/>
    <w:rsid w:val="00EC3F8A"/>
    <w:rsid w:val="00EE2BC8"/>
    <w:rsid w:val="00F073F4"/>
    <w:rsid w:val="00F100FC"/>
    <w:rsid w:val="00F13A9C"/>
    <w:rsid w:val="00F243C8"/>
    <w:rsid w:val="00F27385"/>
    <w:rsid w:val="00F53643"/>
    <w:rsid w:val="00F65C64"/>
    <w:rsid w:val="00F737D0"/>
    <w:rsid w:val="00F958BB"/>
    <w:rsid w:val="00FD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820274"/>
    <w:rPr>
      <w:sz w:val="24"/>
      <w:szCs w:val="24"/>
    </w:rPr>
  </w:style>
  <w:style w:type="paragraph" w:styleId="NormalWeb">
    <w:name w:val="Normal (Web)"/>
    <w:basedOn w:val="Normal"/>
    <w:uiPriority w:val="99"/>
    <w:unhideWhenUsed/>
    <w:rsid w:val="00820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678969373">
      <w:bodyDiv w:val="1"/>
      <w:marLeft w:val="0"/>
      <w:marRight w:val="0"/>
      <w:marTop w:val="0"/>
      <w:marBottom w:val="0"/>
      <w:divBdr>
        <w:top w:val="none" w:sz="0" w:space="0" w:color="auto"/>
        <w:left w:val="none" w:sz="0" w:space="0" w:color="auto"/>
        <w:bottom w:val="none" w:sz="0" w:space="0" w:color="auto"/>
        <w:right w:val="none" w:sz="0" w:space="0" w:color="auto"/>
      </w:divBdr>
      <w:divsChild>
        <w:div w:id="545265773">
          <w:marLeft w:val="0"/>
          <w:marRight w:val="0"/>
          <w:marTop w:val="0"/>
          <w:marBottom w:val="120"/>
          <w:divBdr>
            <w:top w:val="none" w:sz="0" w:space="0" w:color="auto"/>
            <w:left w:val="none" w:sz="0" w:space="0" w:color="auto"/>
            <w:bottom w:val="single" w:sz="12" w:space="0" w:color="000000"/>
            <w:right w:val="none" w:sz="0" w:space="0" w:color="auto"/>
          </w:divBdr>
        </w:div>
        <w:div w:id="525868997">
          <w:marLeft w:val="0"/>
          <w:marRight w:val="0"/>
          <w:marTop w:val="120"/>
          <w:marBottom w:val="0"/>
          <w:divBdr>
            <w:top w:val="none" w:sz="0" w:space="0" w:color="auto"/>
            <w:left w:val="none" w:sz="0" w:space="0" w:color="auto"/>
            <w:bottom w:val="none" w:sz="0" w:space="0" w:color="auto"/>
            <w:right w:val="none" w:sz="0" w:space="0" w:color="auto"/>
          </w:divBdr>
        </w:div>
      </w:divsChild>
    </w:div>
    <w:div w:id="1687441335">
      <w:bodyDiv w:val="1"/>
      <w:marLeft w:val="0"/>
      <w:marRight w:val="0"/>
      <w:marTop w:val="0"/>
      <w:marBottom w:val="0"/>
      <w:divBdr>
        <w:top w:val="none" w:sz="0" w:space="0" w:color="auto"/>
        <w:left w:val="none" w:sz="0" w:space="0" w:color="auto"/>
        <w:bottom w:val="none" w:sz="0" w:space="0" w:color="auto"/>
        <w:right w:val="none" w:sz="0" w:space="0" w:color="auto"/>
      </w:divBdr>
      <w:divsChild>
        <w:div w:id="1954365475">
          <w:marLeft w:val="0"/>
          <w:marRight w:val="0"/>
          <w:marTop w:val="0"/>
          <w:marBottom w:val="120"/>
          <w:divBdr>
            <w:top w:val="none" w:sz="0" w:space="0" w:color="auto"/>
            <w:left w:val="none" w:sz="0" w:space="0" w:color="auto"/>
            <w:bottom w:val="single" w:sz="12" w:space="0" w:color="000000"/>
            <w:right w:val="none" w:sz="0" w:space="0" w:color="auto"/>
          </w:divBdr>
        </w:div>
        <w:div w:id="576594956">
          <w:marLeft w:val="0"/>
          <w:marRight w:val="0"/>
          <w:marTop w:val="120"/>
          <w:marBottom w:val="0"/>
          <w:divBdr>
            <w:top w:val="none" w:sz="0" w:space="0" w:color="auto"/>
            <w:left w:val="none" w:sz="0" w:space="0" w:color="auto"/>
            <w:bottom w:val="none" w:sz="0" w:space="0" w:color="auto"/>
            <w:right w:val="none" w:sz="0" w:space="0" w:color="auto"/>
          </w:divBdr>
        </w:div>
      </w:divsChild>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GeoVax Labs Inc.</cp:lastModifiedBy>
  <cp:revision>13</cp:revision>
  <dcterms:created xsi:type="dcterms:W3CDTF">2023-07-26T19:31:00Z</dcterms:created>
  <dcterms:modified xsi:type="dcterms:W3CDTF">2023-08-02T12:06:00Z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