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88456C"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F958164" w:rsidR="008D7E3A" w:rsidRDefault="008D7E3A" w:rsidP="008D7E3A">
      <w:pPr>
        <w:ind w:left="144" w:right="144"/>
        <w:jc w:val="center"/>
        <w:rPr>
          <w:sz w:val="20"/>
          <w:szCs w:val="20"/>
        </w:rPr>
      </w:pPr>
      <w:r>
        <w:rPr>
          <w:b/>
          <w:bCs/>
          <w:sz w:val="20"/>
          <w:szCs w:val="20"/>
        </w:rPr>
        <w:t>Date of report (Date of earliest event reported):  </w:t>
      </w:r>
      <w:r w:rsidR="00797D8A">
        <w:rPr>
          <w:b/>
          <w:bCs/>
          <w:sz w:val="20"/>
          <w:szCs w:val="20"/>
        </w:rPr>
        <w:t>August</w:t>
      </w:r>
      <w:r w:rsidR="000850CC">
        <w:rPr>
          <w:b/>
          <w:bCs/>
          <w:sz w:val="20"/>
          <w:szCs w:val="20"/>
        </w:rPr>
        <w:t xml:space="preserve"> </w:t>
      </w:r>
      <w:r w:rsidR="00B55645">
        <w:rPr>
          <w:b/>
          <w:bCs/>
          <w:sz w:val="20"/>
          <w:szCs w:val="20"/>
        </w:rPr>
        <w:t>31</w:t>
      </w:r>
      <w:r>
        <w:rPr>
          <w:b/>
          <w:bCs/>
          <w:sz w:val="20"/>
          <w:szCs w:val="20"/>
        </w:rPr>
        <w:t>, 202</w:t>
      </w:r>
      <w:r w:rsidR="007F74E8">
        <w:rPr>
          <w:b/>
          <w:bCs/>
          <w:sz w:val="20"/>
          <w:szCs w:val="20"/>
        </w:rPr>
        <w:t>2</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88456C"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6CAD9563" w:rsidR="00C524E3" w:rsidRPr="00C524E3" w:rsidRDefault="00C524E3" w:rsidP="00C524E3">
      <w:pPr>
        <w:ind w:left="144" w:right="144"/>
        <w:jc w:val="both"/>
        <w:rPr>
          <w:sz w:val="20"/>
          <w:szCs w:val="20"/>
        </w:rPr>
      </w:pPr>
      <w:r w:rsidRPr="00C524E3">
        <w:rPr>
          <w:b/>
          <w:bCs/>
          <w:sz w:val="20"/>
          <w:szCs w:val="20"/>
        </w:rPr>
        <w:t>Item 5.02</w:t>
      </w:r>
      <w:r w:rsidR="00B55645">
        <w:rPr>
          <w:b/>
          <w:bCs/>
          <w:sz w:val="20"/>
          <w:szCs w:val="20"/>
        </w:rPr>
        <w:tab/>
      </w:r>
      <w:r w:rsidRPr="00C524E3">
        <w:rPr>
          <w:b/>
          <w:bCs/>
          <w:sz w:val="20"/>
          <w:szCs w:val="20"/>
        </w:rPr>
        <w:t>Departure of Directors or Certain Officers; Election of Directors; Appointment of Certain Officers; Compensatory Arrangements of Certain Officers.</w:t>
      </w:r>
    </w:p>
    <w:p w14:paraId="193E3A71" w14:textId="77777777" w:rsidR="00DF2B44" w:rsidRPr="00C524E3" w:rsidRDefault="00DF2B44" w:rsidP="00C524E3">
      <w:pPr>
        <w:ind w:left="144" w:right="144"/>
        <w:jc w:val="both"/>
        <w:rPr>
          <w:sz w:val="20"/>
          <w:szCs w:val="20"/>
        </w:rPr>
      </w:pPr>
    </w:p>
    <w:p w14:paraId="03F08D27" w14:textId="20FD1393" w:rsidR="00C524E3" w:rsidRDefault="001A5BA8" w:rsidP="00797D8A">
      <w:pPr>
        <w:ind w:left="144" w:right="144"/>
        <w:jc w:val="both"/>
        <w:rPr>
          <w:sz w:val="20"/>
          <w:szCs w:val="20"/>
        </w:rPr>
      </w:pPr>
      <w:r>
        <w:rPr>
          <w:sz w:val="20"/>
          <w:szCs w:val="20"/>
        </w:rPr>
        <w:t>On</w:t>
      </w:r>
      <w:r w:rsidR="00C524E3" w:rsidRPr="00C524E3">
        <w:rPr>
          <w:sz w:val="20"/>
          <w:szCs w:val="20"/>
        </w:rPr>
        <w:t xml:space="preserve"> </w:t>
      </w:r>
      <w:r w:rsidR="00797D8A">
        <w:rPr>
          <w:sz w:val="20"/>
          <w:szCs w:val="20"/>
        </w:rPr>
        <w:t>August</w:t>
      </w:r>
      <w:r w:rsidR="00B55645">
        <w:rPr>
          <w:sz w:val="20"/>
          <w:szCs w:val="20"/>
        </w:rPr>
        <w:t xml:space="preserve"> 31</w:t>
      </w:r>
      <w:r w:rsidR="00C524E3" w:rsidRPr="00C524E3">
        <w:rPr>
          <w:sz w:val="20"/>
          <w:szCs w:val="20"/>
        </w:rPr>
        <w:t>, 20</w:t>
      </w:r>
      <w:r w:rsidR="00797D8A">
        <w:rPr>
          <w:sz w:val="20"/>
          <w:szCs w:val="20"/>
        </w:rPr>
        <w:t>22</w:t>
      </w:r>
      <w:r>
        <w:rPr>
          <w:sz w:val="20"/>
          <w:szCs w:val="20"/>
        </w:rPr>
        <w:t xml:space="preserve">, </w:t>
      </w:r>
      <w:r w:rsidR="00C524E3" w:rsidRPr="00C524E3">
        <w:rPr>
          <w:sz w:val="20"/>
          <w:szCs w:val="20"/>
        </w:rPr>
        <w:t>our Board of Directors</w:t>
      </w:r>
      <w:r w:rsidR="00DF2B44">
        <w:rPr>
          <w:sz w:val="20"/>
          <w:szCs w:val="20"/>
        </w:rPr>
        <w:t xml:space="preserve"> (the “Board”)</w:t>
      </w:r>
      <w:r w:rsidR="00C524E3" w:rsidRPr="00C524E3">
        <w:rPr>
          <w:sz w:val="20"/>
          <w:szCs w:val="20"/>
        </w:rPr>
        <w:t xml:space="preserve"> appointed </w:t>
      </w:r>
      <w:r w:rsidR="00797D8A">
        <w:rPr>
          <w:sz w:val="20"/>
          <w:szCs w:val="20"/>
        </w:rPr>
        <w:t>Nicole Lemerond</w:t>
      </w:r>
      <w:r>
        <w:rPr>
          <w:sz w:val="20"/>
          <w:szCs w:val="20"/>
        </w:rPr>
        <w:t xml:space="preserve"> </w:t>
      </w:r>
      <w:r w:rsidR="00C524E3" w:rsidRPr="00C524E3">
        <w:rPr>
          <w:sz w:val="20"/>
          <w:szCs w:val="20"/>
        </w:rPr>
        <w:t>to the Board</w:t>
      </w:r>
      <w:r>
        <w:rPr>
          <w:sz w:val="20"/>
          <w:szCs w:val="20"/>
        </w:rPr>
        <w:t>, effective as of August 31, 2022.  Ms. Lemerond’s term as a member of the Board will expire</w:t>
      </w:r>
      <w:r w:rsidR="0096668D">
        <w:rPr>
          <w:sz w:val="20"/>
          <w:szCs w:val="20"/>
        </w:rPr>
        <w:t xml:space="preserve"> upon </w:t>
      </w:r>
      <w:r w:rsidR="0096668D" w:rsidRPr="0096668D">
        <w:rPr>
          <w:sz w:val="20"/>
          <w:szCs w:val="20"/>
        </w:rPr>
        <w:t xml:space="preserve">the next annual meeting of stockholders or until </w:t>
      </w:r>
      <w:r w:rsidR="0096668D">
        <w:rPr>
          <w:sz w:val="20"/>
          <w:szCs w:val="20"/>
        </w:rPr>
        <w:t>her</w:t>
      </w:r>
      <w:r w:rsidR="0096668D" w:rsidRPr="0096668D">
        <w:rPr>
          <w:sz w:val="20"/>
          <w:szCs w:val="20"/>
        </w:rPr>
        <w:t xml:space="preserve"> successor </w:t>
      </w:r>
      <w:r w:rsidR="0096668D">
        <w:rPr>
          <w:sz w:val="20"/>
          <w:szCs w:val="20"/>
        </w:rPr>
        <w:t>is</w:t>
      </w:r>
      <w:r w:rsidR="0096668D" w:rsidRPr="0096668D">
        <w:rPr>
          <w:sz w:val="20"/>
          <w:szCs w:val="20"/>
        </w:rPr>
        <w:t xml:space="preserve"> duly elected and qualified</w:t>
      </w:r>
      <w:r w:rsidR="0096668D">
        <w:rPr>
          <w:sz w:val="20"/>
          <w:szCs w:val="20"/>
        </w:rPr>
        <w:t>.</w:t>
      </w:r>
    </w:p>
    <w:p w14:paraId="2E2369C7" w14:textId="77777777" w:rsidR="00797D8A" w:rsidRPr="00C524E3" w:rsidRDefault="00797D8A" w:rsidP="00797D8A">
      <w:pPr>
        <w:ind w:left="144" w:right="144"/>
        <w:jc w:val="both"/>
        <w:rPr>
          <w:sz w:val="20"/>
          <w:szCs w:val="20"/>
        </w:rPr>
      </w:pPr>
    </w:p>
    <w:p w14:paraId="3E63B728" w14:textId="16580B67" w:rsidR="00C524E3" w:rsidRPr="00C524E3" w:rsidRDefault="00797D8A" w:rsidP="00C524E3">
      <w:pPr>
        <w:ind w:left="144" w:right="144"/>
        <w:jc w:val="both"/>
        <w:rPr>
          <w:sz w:val="20"/>
          <w:szCs w:val="20"/>
        </w:rPr>
      </w:pPr>
      <w:r>
        <w:rPr>
          <w:sz w:val="20"/>
          <w:szCs w:val="20"/>
        </w:rPr>
        <w:t>Ms. Lemerond will participate in our existing non-employee director compensation plan.</w:t>
      </w:r>
      <w:r w:rsidR="00366C53">
        <w:rPr>
          <w:sz w:val="20"/>
          <w:szCs w:val="20"/>
        </w:rPr>
        <w:t xml:space="preserve">  Accordingly, she will receive a pro rata portion of the </w:t>
      </w:r>
      <w:r w:rsidR="00196A86">
        <w:rPr>
          <w:sz w:val="20"/>
          <w:szCs w:val="20"/>
        </w:rPr>
        <w:t>annual</w:t>
      </w:r>
      <w:r w:rsidR="00366C53">
        <w:rPr>
          <w:sz w:val="20"/>
          <w:szCs w:val="20"/>
        </w:rPr>
        <w:t xml:space="preserve"> retainer for serving on the Board</w:t>
      </w:r>
      <w:r w:rsidR="00196A86">
        <w:rPr>
          <w:sz w:val="20"/>
          <w:szCs w:val="20"/>
        </w:rPr>
        <w:t xml:space="preserve"> and will be eligible to receive an annual stock option grant in the same amount as those granted to the other non-employee directors</w:t>
      </w:r>
      <w:r w:rsidR="00366C53">
        <w:rPr>
          <w:sz w:val="20"/>
          <w:szCs w:val="20"/>
        </w:rPr>
        <w:t xml:space="preserve">. </w:t>
      </w:r>
      <w:r>
        <w:rPr>
          <w:sz w:val="20"/>
          <w:szCs w:val="20"/>
        </w:rPr>
        <w:t>Ms. Lemerond</w:t>
      </w:r>
      <w:r w:rsidR="00C524E3" w:rsidRPr="00C524E3">
        <w:rPr>
          <w:sz w:val="20"/>
          <w:szCs w:val="20"/>
        </w:rPr>
        <w:t xml:space="preserve"> </w:t>
      </w:r>
      <w:r w:rsidR="00DF2B44">
        <w:rPr>
          <w:sz w:val="20"/>
          <w:szCs w:val="20"/>
        </w:rPr>
        <w:t xml:space="preserve">has </w:t>
      </w:r>
      <w:r w:rsidR="00C524E3" w:rsidRPr="00C524E3">
        <w:rPr>
          <w:sz w:val="20"/>
          <w:szCs w:val="20"/>
        </w:rPr>
        <w:t xml:space="preserve">been appointed to </w:t>
      </w:r>
      <w:r w:rsidR="00DF2B44">
        <w:rPr>
          <w:sz w:val="20"/>
          <w:szCs w:val="20"/>
        </w:rPr>
        <w:t xml:space="preserve">the Audit Committee of the Board and </w:t>
      </w:r>
      <w:r w:rsidR="00C524E3" w:rsidRPr="00C524E3">
        <w:rPr>
          <w:sz w:val="20"/>
          <w:szCs w:val="20"/>
        </w:rPr>
        <w:t>will receive a pro-rat</w:t>
      </w:r>
      <w:r w:rsidR="00366C53">
        <w:rPr>
          <w:sz w:val="20"/>
          <w:szCs w:val="20"/>
        </w:rPr>
        <w:t>a</w:t>
      </w:r>
      <w:r w:rsidR="00C524E3" w:rsidRPr="00C524E3">
        <w:rPr>
          <w:sz w:val="20"/>
          <w:szCs w:val="20"/>
        </w:rPr>
        <w:t xml:space="preserve"> portion of the applicable </w:t>
      </w:r>
      <w:r w:rsidR="00196A86">
        <w:rPr>
          <w:sz w:val="20"/>
          <w:szCs w:val="20"/>
        </w:rPr>
        <w:t>annual</w:t>
      </w:r>
      <w:r w:rsidR="00C524E3" w:rsidRPr="00C524E3">
        <w:rPr>
          <w:sz w:val="20"/>
          <w:szCs w:val="20"/>
        </w:rPr>
        <w:t xml:space="preserve"> retainer. There was no arrangement or understanding between </w:t>
      </w:r>
      <w:r w:rsidR="00366C53">
        <w:rPr>
          <w:sz w:val="20"/>
          <w:szCs w:val="20"/>
        </w:rPr>
        <w:t>Ms. Lemerond</w:t>
      </w:r>
      <w:r w:rsidR="00C524E3" w:rsidRPr="00C524E3">
        <w:rPr>
          <w:sz w:val="20"/>
          <w:szCs w:val="20"/>
        </w:rPr>
        <w:t xml:space="preserve"> and any person pursuant to which </w:t>
      </w:r>
      <w:r w:rsidR="00366C53">
        <w:rPr>
          <w:sz w:val="20"/>
          <w:szCs w:val="20"/>
        </w:rPr>
        <w:t>s</w:t>
      </w:r>
      <w:r w:rsidR="00C524E3" w:rsidRPr="00C524E3">
        <w:rPr>
          <w:sz w:val="20"/>
          <w:szCs w:val="20"/>
        </w:rPr>
        <w:t xml:space="preserve">he was selected as a director. </w:t>
      </w:r>
      <w:r w:rsidR="00366C53">
        <w:rPr>
          <w:sz w:val="20"/>
          <w:szCs w:val="20"/>
        </w:rPr>
        <w:t>Ms. Lemerond</w:t>
      </w:r>
      <w:r w:rsidR="00C524E3" w:rsidRPr="00C524E3">
        <w:rPr>
          <w:sz w:val="20"/>
          <w:szCs w:val="20"/>
        </w:rPr>
        <w:t xml:space="preserve"> has not been a party to any transaction with us that we would be obligated to report pursuant to Item 404(a) of Regulation S-K nor has any such transaction been proposed. </w:t>
      </w:r>
    </w:p>
    <w:p w14:paraId="127656E5" w14:textId="77777777" w:rsidR="00C524E3" w:rsidRPr="00C524E3" w:rsidRDefault="00C524E3" w:rsidP="00C524E3">
      <w:pPr>
        <w:ind w:left="144" w:right="144"/>
        <w:jc w:val="both"/>
        <w:rPr>
          <w:sz w:val="20"/>
          <w:szCs w:val="20"/>
        </w:rPr>
      </w:pPr>
    </w:p>
    <w:p w14:paraId="4AE0011C" w14:textId="3F3C1DFB" w:rsidR="00DF2B44" w:rsidRDefault="00C524E3" w:rsidP="00DF2B44">
      <w:pPr>
        <w:ind w:left="144" w:right="144"/>
        <w:jc w:val="both"/>
        <w:rPr>
          <w:sz w:val="20"/>
          <w:szCs w:val="20"/>
        </w:rPr>
      </w:pPr>
      <w:r w:rsidRPr="00C524E3">
        <w:rPr>
          <w:sz w:val="20"/>
          <w:szCs w:val="20"/>
        </w:rPr>
        <w:t xml:space="preserve">On </w:t>
      </w:r>
      <w:r w:rsidR="00B55645">
        <w:rPr>
          <w:sz w:val="20"/>
          <w:szCs w:val="20"/>
        </w:rPr>
        <w:t>September</w:t>
      </w:r>
      <w:r w:rsidRPr="00C524E3">
        <w:rPr>
          <w:sz w:val="20"/>
          <w:szCs w:val="20"/>
        </w:rPr>
        <w:t xml:space="preserve"> </w:t>
      </w:r>
      <w:r w:rsidR="00B55645">
        <w:rPr>
          <w:sz w:val="20"/>
          <w:szCs w:val="20"/>
        </w:rPr>
        <w:t>1</w:t>
      </w:r>
      <w:r w:rsidRPr="00C524E3">
        <w:rPr>
          <w:sz w:val="20"/>
          <w:szCs w:val="20"/>
        </w:rPr>
        <w:t>, 20</w:t>
      </w:r>
      <w:r w:rsidR="00366C53">
        <w:rPr>
          <w:sz w:val="20"/>
          <w:szCs w:val="20"/>
        </w:rPr>
        <w:t>22</w:t>
      </w:r>
      <w:r w:rsidRPr="00C524E3">
        <w:rPr>
          <w:sz w:val="20"/>
          <w:szCs w:val="20"/>
        </w:rPr>
        <w:t xml:space="preserve"> the </w:t>
      </w:r>
      <w:r w:rsidR="001A5BA8">
        <w:rPr>
          <w:sz w:val="20"/>
          <w:szCs w:val="20"/>
        </w:rPr>
        <w:t>Company</w:t>
      </w:r>
      <w:r w:rsidRPr="00C524E3">
        <w:rPr>
          <w:sz w:val="20"/>
          <w:szCs w:val="20"/>
        </w:rPr>
        <w:t xml:space="preserve"> issued a press release (attached hereto as Exhibit 99.1) announcing the appointment of </w:t>
      </w:r>
      <w:r w:rsidR="00366C53">
        <w:rPr>
          <w:sz w:val="20"/>
          <w:szCs w:val="20"/>
        </w:rPr>
        <w:t>Ms. Lemerond</w:t>
      </w:r>
      <w:r w:rsidRPr="00C524E3">
        <w:rPr>
          <w:sz w:val="20"/>
          <w:szCs w:val="20"/>
        </w:rPr>
        <w:t xml:space="preserve"> to the Board</w:t>
      </w:r>
      <w:r w:rsidR="00DF2B44">
        <w:rPr>
          <w:sz w:val="20"/>
          <w:szCs w:val="20"/>
        </w:rPr>
        <w:t>.</w:t>
      </w:r>
    </w:p>
    <w:p w14:paraId="61F9BF5C" w14:textId="6AEF9D11" w:rsidR="00C36B57" w:rsidRDefault="00C36B57" w:rsidP="007B5113">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89A79FF" w14:textId="77777777" w:rsidTr="004F5A50">
        <w:tc>
          <w:tcPr>
            <w:tcW w:w="600" w:type="pct"/>
            <w:tcMar>
              <w:top w:w="5" w:type="dxa"/>
              <w:left w:w="5" w:type="dxa"/>
              <w:bottom w:w="5" w:type="dxa"/>
              <w:right w:w="5" w:type="dxa"/>
            </w:tcMar>
            <w:hideMark/>
          </w:tcPr>
          <w:p w14:paraId="38049392" w14:textId="77777777" w:rsidR="00587D9F" w:rsidRDefault="00587D9F" w:rsidP="00587D9F">
            <w:pPr>
              <w:ind w:left="180"/>
              <w:rPr>
                <w:sz w:val="20"/>
                <w:szCs w:val="20"/>
              </w:rPr>
            </w:pPr>
            <w:r>
              <w:rPr>
                <w:sz w:val="20"/>
                <w:szCs w:val="20"/>
              </w:rPr>
              <w:t>99.1</w:t>
            </w:r>
          </w:p>
        </w:tc>
        <w:tc>
          <w:tcPr>
            <w:tcW w:w="4400" w:type="pct"/>
            <w:tcMar>
              <w:top w:w="5" w:type="dxa"/>
              <w:left w:w="5" w:type="dxa"/>
              <w:bottom w:w="5" w:type="dxa"/>
              <w:right w:w="5" w:type="dxa"/>
            </w:tcMar>
            <w:hideMark/>
          </w:tcPr>
          <w:p w14:paraId="229E2913" w14:textId="4A64530D" w:rsidR="00587D9F" w:rsidRDefault="00587D9F" w:rsidP="00587D9F">
            <w:pPr>
              <w:rPr>
                <w:sz w:val="20"/>
                <w:szCs w:val="20"/>
              </w:rPr>
            </w:pPr>
            <w:r>
              <w:rPr>
                <w:sz w:val="20"/>
                <w:szCs w:val="20"/>
              </w:rPr>
              <w:t xml:space="preserve">Press release dated </w:t>
            </w:r>
            <w:r w:rsidR="00B55645">
              <w:rPr>
                <w:sz w:val="20"/>
                <w:szCs w:val="20"/>
              </w:rPr>
              <w:t>September 1,</w:t>
            </w:r>
            <w:r>
              <w:rPr>
                <w:sz w:val="20"/>
                <w:szCs w:val="20"/>
              </w:rPr>
              <w:t xml:space="preserve"> 2022</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EEFCC7A" w:rsidR="008D7E3A" w:rsidRDefault="008D7E3A" w:rsidP="008D7E3A">
      <w:pPr>
        <w:ind w:left="144" w:right="144"/>
        <w:rPr>
          <w:sz w:val="20"/>
          <w:szCs w:val="20"/>
        </w:rPr>
      </w:pPr>
      <w:r>
        <w:rPr>
          <w:sz w:val="20"/>
          <w:szCs w:val="20"/>
        </w:rPr>
        <w:t xml:space="preserve">Date: </w:t>
      </w:r>
      <w:r w:rsidR="00B55645">
        <w:rPr>
          <w:sz w:val="20"/>
          <w:szCs w:val="20"/>
        </w:rPr>
        <w:t>September</w:t>
      </w:r>
      <w:r w:rsidR="009E2EA9">
        <w:rPr>
          <w:sz w:val="20"/>
          <w:szCs w:val="20"/>
        </w:rPr>
        <w:t xml:space="preserve"> </w:t>
      </w:r>
      <w:r w:rsidR="00B55645">
        <w:rPr>
          <w:sz w:val="20"/>
          <w:szCs w:val="20"/>
        </w:rPr>
        <w:t>1</w:t>
      </w:r>
      <w:r w:rsidR="007F74E8">
        <w:rPr>
          <w:sz w:val="20"/>
          <w:szCs w:val="20"/>
        </w:rPr>
        <w:t>, 2022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72BCB08D" w14:textId="77777777" w:rsidR="0088456C" w:rsidRDefault="0088456C" w:rsidP="008D7E3A">
      <w:pPr>
        <w:sectPr w:rsidR="0088456C">
          <w:footerReference w:type="default" r:id="rId8"/>
          <w:pgSz w:w="12240" w:h="15840"/>
          <w:pgMar w:top="576" w:right="720" w:bottom="576" w:left="720" w:header="144" w:footer="432" w:gutter="0"/>
          <w:cols w:space="720"/>
        </w:sectPr>
      </w:pPr>
    </w:p>
    <w:p w14:paraId="2B519A86" w14:textId="03CECFF4" w:rsidR="004B3179" w:rsidRDefault="004B3179" w:rsidP="008D7E3A"/>
    <w:p w14:paraId="300C873A" w14:textId="6BAC8FC3" w:rsidR="0088456C" w:rsidRPr="0088456C" w:rsidRDefault="0088456C" w:rsidP="0088456C"/>
    <w:p w14:paraId="561427EC" w14:textId="0CB3CC9A" w:rsidR="0088456C" w:rsidRPr="0088456C" w:rsidRDefault="0088456C" w:rsidP="0088456C">
      <w:r>
        <w:rPr>
          <w:noProof/>
        </w:rPr>
        <w:drawing>
          <wp:inline distT="0" distB="0" distL="0" distR="0" wp14:anchorId="5E2F5378" wp14:editId="1E4308C2">
            <wp:extent cx="188976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499745"/>
                    </a:xfrm>
                    <a:prstGeom prst="rect">
                      <a:avLst/>
                    </a:prstGeom>
                    <a:noFill/>
                  </pic:spPr>
                </pic:pic>
              </a:graphicData>
            </a:graphic>
          </wp:inline>
        </w:drawing>
      </w:r>
    </w:p>
    <w:p w14:paraId="455907A4" w14:textId="77777777" w:rsidR="0088456C" w:rsidRPr="0088456C" w:rsidRDefault="0088456C" w:rsidP="0088456C">
      <w:pPr>
        <w:jc w:val="center"/>
        <w:rPr>
          <w:rFonts w:eastAsia="SimSun"/>
          <w:b/>
          <w:color w:val="FF0000"/>
          <w:sz w:val="28"/>
          <w:szCs w:val="28"/>
        </w:rPr>
      </w:pPr>
      <w:r w:rsidRPr="0088456C">
        <w:rPr>
          <w:rFonts w:eastAsia="SimSun"/>
          <w:b/>
          <w:noProof/>
          <w:color w:val="FF0000"/>
          <w:sz w:val="28"/>
          <w:szCs w:val="28"/>
        </w:rPr>
        <mc:AlternateContent>
          <mc:Choice Requires="wps">
            <w:drawing>
              <wp:anchor distT="45720" distB="45720" distL="114300" distR="114300" simplePos="0" relativeHeight="251659264" behindDoc="1" locked="0" layoutInCell="1" allowOverlap="1" wp14:anchorId="655325F4" wp14:editId="41E3EDC3">
                <wp:simplePos x="0" y="0"/>
                <wp:positionH relativeFrom="column">
                  <wp:posOffset>5360670</wp:posOffset>
                </wp:positionH>
                <wp:positionV relativeFrom="paragraph">
                  <wp:posOffset>-553085</wp:posOffset>
                </wp:positionV>
                <wp:extent cx="114300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solidFill>
                          <a:srgbClr val="FFFFFF"/>
                        </a:solidFill>
                        <a:ln w="9525">
                          <a:noFill/>
                          <a:miter lim="800000"/>
                          <a:headEnd/>
                          <a:tailEnd/>
                        </a:ln>
                      </wps:spPr>
                      <wps:txbx>
                        <w:txbxContent>
                          <w:p w14:paraId="33953937" w14:textId="77777777" w:rsidR="0088456C" w:rsidRPr="002221C2" w:rsidRDefault="0088456C" w:rsidP="0088456C">
                            <w:pPr>
                              <w:rPr>
                                <w:b/>
                                <w:bCs/>
                              </w:rPr>
                            </w:pPr>
                            <w:r w:rsidRPr="002221C2">
                              <w:rPr>
                                <w:b/>
                                <w:bCs/>
                              </w:rPr>
                              <w:t>Exhibit 99.1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325F4" id="_x0000_t202" coordsize="21600,21600" o:spt="202" path="m,l,21600r21600,l21600,xe">
                <v:stroke joinstyle="miter"/>
                <v:path gradientshapeok="t" o:connecttype="rect"/>
              </v:shapetype>
              <v:shape id="Text Box 2" o:spid="_x0000_s1026" type="#_x0000_t202" style="position:absolute;left:0;text-align:left;margin-left:422.1pt;margin-top:-43.55pt;width:90pt;height:2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" stroked="f">
                <v:textbox>
                  <w:txbxContent>
                    <w:p w14:paraId="33953937" w14:textId="77777777" w:rsidR="0088456C" w:rsidRPr="002221C2" w:rsidRDefault="0088456C" w:rsidP="0088456C">
                      <w:pPr>
                        <w:rPr>
                          <w:b/>
                          <w:bCs/>
                        </w:rPr>
                      </w:pPr>
                      <w:r w:rsidRPr="002221C2">
                        <w:rPr>
                          <w:b/>
                          <w:bCs/>
                        </w:rPr>
                        <w:t>Exhibit 99.1</w:t>
                      </w:r>
                    </w:p>
                  </w:txbxContent>
                </v:textbox>
              </v:shape>
            </w:pict>
          </mc:Fallback>
        </mc:AlternateContent>
      </w:r>
    </w:p>
    <w:p w14:paraId="03870742" w14:textId="77777777" w:rsidR="0088456C" w:rsidRPr="0088456C" w:rsidRDefault="0088456C" w:rsidP="0088456C">
      <w:pPr>
        <w:jc w:val="center"/>
        <w:rPr>
          <w:rFonts w:eastAsia="SimSun"/>
          <w:b/>
          <w:color w:val="000000"/>
          <w:sz w:val="32"/>
          <w:szCs w:val="32"/>
        </w:rPr>
      </w:pPr>
      <w:r w:rsidRPr="0088456C">
        <w:rPr>
          <w:rFonts w:eastAsia="SimSun"/>
          <w:b/>
          <w:color w:val="000000"/>
          <w:sz w:val="32"/>
          <w:szCs w:val="32"/>
        </w:rPr>
        <w:t>GeoVax Announces Addition to its Board of Directors</w:t>
      </w:r>
    </w:p>
    <w:p w14:paraId="6E2E18EF" w14:textId="77777777" w:rsidR="0088456C" w:rsidRPr="0088456C" w:rsidRDefault="0088456C" w:rsidP="0088456C">
      <w:pPr>
        <w:jc w:val="center"/>
        <w:rPr>
          <w:rFonts w:eastAsia="SimSun"/>
          <w:b/>
          <w:color w:val="000000"/>
          <w:sz w:val="28"/>
          <w:szCs w:val="28"/>
        </w:rPr>
      </w:pPr>
    </w:p>
    <w:p w14:paraId="797F7E3C" w14:textId="77777777" w:rsidR="0088456C" w:rsidRPr="0088456C" w:rsidRDefault="0088456C" w:rsidP="0088456C">
      <w:pPr>
        <w:jc w:val="center"/>
        <w:rPr>
          <w:rFonts w:eastAsia="SimSun"/>
          <w:bCs/>
          <w:i/>
          <w:iCs/>
          <w:color w:val="000000"/>
        </w:rPr>
      </w:pPr>
      <w:r w:rsidRPr="0088456C">
        <w:rPr>
          <w:rFonts w:eastAsia="SimSun"/>
          <w:bCs/>
          <w:i/>
          <w:iCs/>
          <w:color w:val="000000"/>
        </w:rPr>
        <w:t>Nicole Lemerond, CFA, Brings Healthcare Finance Expertise to the GeoVax Board</w:t>
      </w:r>
    </w:p>
    <w:p w14:paraId="2B1AB5EA" w14:textId="77777777" w:rsidR="0088456C" w:rsidRPr="0088456C" w:rsidRDefault="0088456C" w:rsidP="0088456C">
      <w:pPr>
        <w:jc w:val="center"/>
        <w:rPr>
          <w:rFonts w:eastAsia="SimSun"/>
          <w:b/>
          <w:color w:val="000000"/>
          <w:sz w:val="28"/>
          <w:szCs w:val="28"/>
        </w:rPr>
      </w:pPr>
    </w:p>
    <w:p w14:paraId="3AC19E10" w14:textId="77777777" w:rsidR="0088456C" w:rsidRPr="0088456C" w:rsidRDefault="0088456C" w:rsidP="0088456C">
      <w:pPr>
        <w:spacing w:after="120"/>
        <w:jc w:val="both"/>
        <w:rPr>
          <w:rFonts w:eastAsia="SimSun"/>
          <w:bCs/>
          <w:color w:val="000000"/>
          <w:sz w:val="22"/>
          <w:szCs w:val="22"/>
        </w:rPr>
      </w:pPr>
      <w:r w:rsidRPr="0088456C">
        <w:rPr>
          <w:rFonts w:eastAsia="SimSun"/>
          <w:b/>
          <w:color w:val="000000"/>
          <w:sz w:val="22"/>
          <w:szCs w:val="22"/>
        </w:rPr>
        <w:t>ATLANTA, GA, September 1, 2022</w:t>
      </w:r>
      <w:r w:rsidRPr="0088456C">
        <w:rPr>
          <w:rFonts w:eastAsia="SimSun"/>
          <w:bCs/>
          <w:color w:val="000000"/>
          <w:sz w:val="22"/>
          <w:szCs w:val="22"/>
        </w:rPr>
        <w:t xml:space="preserve"> – GeoVax Labs, Inc.</w:t>
      </w:r>
      <w:r w:rsidRPr="0088456C">
        <w:rPr>
          <w:rFonts w:eastAsia="SimSun"/>
          <w:sz w:val="22"/>
          <w:szCs w:val="22"/>
        </w:rPr>
        <w:t xml:space="preserve"> (Nasdaq: GOVX)</w:t>
      </w:r>
      <w:r w:rsidRPr="0088456C">
        <w:rPr>
          <w:rFonts w:eastAsia="SimSun"/>
          <w:bCs/>
          <w:color w:val="000000"/>
          <w:sz w:val="22"/>
          <w:szCs w:val="22"/>
        </w:rPr>
        <w:t xml:space="preserve">, a biotechnology company </w:t>
      </w:r>
      <w:r w:rsidRPr="0088456C">
        <w:rPr>
          <w:rFonts w:eastAsia="SimSun"/>
          <w:sz w:val="22"/>
          <w:szCs w:val="22"/>
        </w:rPr>
        <w:t>developing human vaccines and immunotherapies against infectious diseases and cancer,</w:t>
      </w:r>
      <w:r w:rsidRPr="0088456C">
        <w:rPr>
          <w:rFonts w:eastAsia="SimSun"/>
          <w:bCs/>
          <w:color w:val="000000"/>
          <w:sz w:val="22"/>
          <w:szCs w:val="22"/>
        </w:rPr>
        <w:t xml:space="preserve"> announced today that it has appointed Nicole Lemerond, CFA, to its Board of Directors.</w:t>
      </w:r>
    </w:p>
    <w:p w14:paraId="30D98D4D" w14:textId="77777777" w:rsidR="0088456C" w:rsidRPr="0088456C" w:rsidRDefault="0088456C" w:rsidP="0088456C">
      <w:pPr>
        <w:spacing w:after="120"/>
        <w:jc w:val="both"/>
        <w:rPr>
          <w:sz w:val="22"/>
          <w:szCs w:val="22"/>
        </w:rPr>
      </w:pPr>
      <w:r w:rsidRPr="0088456C">
        <w:rPr>
          <w:sz w:val="22"/>
          <w:szCs w:val="22"/>
        </w:rPr>
        <w:t xml:space="preserve">Nicole Lemerond is a financial executive with over 25 years of experience in investment management, private equity, investment banking, mergers/acquisitions, and leveraged finance. She has significant experience executing complex transactions, managing diligence processes, raising capital and structuring balance sheets. </w:t>
      </w:r>
      <w:r w:rsidRPr="0088456C">
        <w:rPr>
          <w:bCs/>
          <w:sz w:val="22"/>
          <w:szCs w:val="22"/>
        </w:rPr>
        <w:t>Her breadth of industry expertise includes providers, payors, medical device manufacturers, HCIT providers, pharmaceutical and life sciences companies</w:t>
      </w:r>
      <w:r w:rsidRPr="0088456C">
        <w:rPr>
          <w:sz w:val="22"/>
          <w:szCs w:val="22"/>
        </w:rPr>
        <w:t xml:space="preserve">. </w:t>
      </w:r>
    </w:p>
    <w:p w14:paraId="250E935F" w14:textId="77777777" w:rsidR="0088456C" w:rsidRPr="0088456C" w:rsidRDefault="0088456C" w:rsidP="0088456C">
      <w:pPr>
        <w:spacing w:after="120"/>
        <w:jc w:val="both"/>
        <w:rPr>
          <w:bCs/>
          <w:sz w:val="22"/>
          <w:szCs w:val="22"/>
        </w:rPr>
      </w:pPr>
      <w:r w:rsidRPr="0088456C">
        <w:rPr>
          <w:bCs/>
          <w:sz w:val="22"/>
          <w:szCs w:val="22"/>
        </w:rPr>
        <w:t>Throughout her career, Ms. Lemerond has worked with public and private company management teams and boards to increase stakeholder value.  She established and led healthcare groups at leading investment firms and has also worked at several large financial institutions, including Lehman Brothers and The Carlyle Group. Ms. Lemerond holds a Bachelor of Science degree from Cornell University and is a CFA charter holder.</w:t>
      </w:r>
    </w:p>
    <w:p w14:paraId="3B387988" w14:textId="77777777" w:rsidR="0088456C" w:rsidRPr="0088456C" w:rsidRDefault="0088456C" w:rsidP="0088456C">
      <w:pPr>
        <w:spacing w:after="120"/>
        <w:jc w:val="both"/>
        <w:rPr>
          <w:bCs/>
          <w:sz w:val="22"/>
          <w:szCs w:val="22"/>
        </w:rPr>
      </w:pPr>
      <w:r w:rsidRPr="0088456C">
        <w:rPr>
          <w:bCs/>
          <w:sz w:val="22"/>
          <w:szCs w:val="22"/>
        </w:rPr>
        <w:t>David Dodd, GeoVax Chairman and CEO commented, “Ms. Lemerond brings a wealth of experience to GeoVax, and we are very pleased to have Nicole join our Board.  Her knowledge and experience in healthcare finance will be a tremendous asset to us as we accelerate GeoVax’s product development portfolio towards regulatory registration and commercialization.”</w:t>
      </w:r>
    </w:p>
    <w:p w14:paraId="009B1DF8" w14:textId="77777777" w:rsidR="0088456C" w:rsidRPr="0088456C" w:rsidRDefault="0088456C" w:rsidP="0088456C">
      <w:pPr>
        <w:spacing w:after="120"/>
        <w:jc w:val="both"/>
        <w:rPr>
          <w:rFonts w:eastAsia="SimSun"/>
          <w:b/>
          <w:bCs/>
          <w:color w:val="000000"/>
          <w:sz w:val="22"/>
          <w:szCs w:val="22"/>
        </w:rPr>
      </w:pPr>
      <w:r w:rsidRPr="0088456C">
        <w:rPr>
          <w:rFonts w:eastAsia="SimSun"/>
          <w:b/>
          <w:bCs/>
          <w:color w:val="000000"/>
          <w:sz w:val="22"/>
          <w:szCs w:val="22"/>
        </w:rPr>
        <w:t>About GeoVax</w:t>
      </w:r>
    </w:p>
    <w:p w14:paraId="59D9521D" w14:textId="77777777" w:rsidR="0088456C" w:rsidRPr="0088456C" w:rsidRDefault="0088456C" w:rsidP="0088456C">
      <w:pPr>
        <w:widowControl w:val="0"/>
        <w:autoSpaceDE w:val="0"/>
        <w:autoSpaceDN w:val="0"/>
        <w:adjustRightInd w:val="0"/>
        <w:spacing w:after="120"/>
        <w:jc w:val="both"/>
        <w:rPr>
          <w:rFonts w:eastAsia="SimSun"/>
          <w:bCs/>
          <w:sz w:val="22"/>
          <w:szCs w:val="22"/>
        </w:rPr>
      </w:pPr>
      <w:r w:rsidRPr="0088456C">
        <w:rPr>
          <w:rFonts w:eastAsia="SimSun"/>
          <w:bCs/>
          <w:sz w:val="22"/>
          <w:szCs w:val="22"/>
        </w:rPr>
        <w:t>GeoVax Labs, Inc. is a clinical-stage biotechnology company developing human vaccines and immunotherapies against infectious diseases and cancer using novel proprietary platforms. GeoVax’s product pipeline includes two ongoing Phase 2 clinical trials of GEO-CM04S1 for COVID-19 as a universal booster vaccine to mRNA vaccines authorized by the U.S. Food and Drug Administration (FDA) and as a primary vaccine for use in immunocompromised patients. In addition to GEO-CM04S1 for COVID-19, GeoVax is developing GEO-CM02 as a pan-coronavirus vaccine. The Company is also conducting a Phase 1/2 clinical trial of Gedeptin</w:t>
      </w:r>
      <w:r w:rsidRPr="0088456C">
        <w:rPr>
          <w:rFonts w:eastAsia="SimSun"/>
          <w:bCs/>
          <w:sz w:val="22"/>
          <w:szCs w:val="22"/>
          <w:vertAlign w:val="superscript"/>
        </w:rPr>
        <w:t>®</w:t>
      </w:r>
      <w:r w:rsidRPr="0088456C">
        <w:rPr>
          <w:rFonts w:eastAsia="SimSun"/>
          <w:bCs/>
          <w:sz w:val="22"/>
          <w:szCs w:val="22"/>
        </w:rPr>
        <w:t xml:space="preserve"> for treatment of head and neck cancer. Gedeptin</w:t>
      </w:r>
      <w:r w:rsidRPr="0088456C">
        <w:rPr>
          <w:rFonts w:eastAsia="SimSun"/>
          <w:bCs/>
          <w:sz w:val="22"/>
          <w:szCs w:val="22"/>
          <w:vertAlign w:val="superscript"/>
        </w:rPr>
        <w:t>®</w:t>
      </w:r>
      <w:r w:rsidRPr="0088456C">
        <w:rPr>
          <w:rFonts w:eastAsia="SimSun"/>
          <w:bCs/>
          <w:sz w:val="22"/>
          <w:szCs w:val="22"/>
        </w:rPr>
        <w:t xml:space="preserve"> has been granted orphan drug status by the FDA. Additional research and development programs include preventive vaccines against Zika Virus, hemorrhagic fever viruses (Ebola, Sudan, Marburg, and Lassa) and malaria, as well as immunotherapies for multiple solid tumors. The Company’s portfolio of wholly owned, co-owned, and in-licensed intellectual property stands at over 70 granted or pending patent applications spread over 20 patent families.</w:t>
      </w:r>
    </w:p>
    <w:p w14:paraId="01300406" w14:textId="77777777" w:rsidR="0088456C" w:rsidRPr="0088456C" w:rsidRDefault="0088456C" w:rsidP="0088456C">
      <w:pPr>
        <w:widowControl w:val="0"/>
        <w:autoSpaceDE w:val="0"/>
        <w:autoSpaceDN w:val="0"/>
        <w:adjustRightInd w:val="0"/>
        <w:spacing w:after="120"/>
        <w:jc w:val="both"/>
        <w:rPr>
          <w:rFonts w:eastAsia="SimSun"/>
          <w:bCs/>
          <w:sz w:val="22"/>
          <w:szCs w:val="22"/>
        </w:rPr>
      </w:pPr>
      <w:r w:rsidRPr="0088456C">
        <w:rPr>
          <w:rFonts w:eastAsia="SimSun"/>
          <w:bCs/>
          <w:sz w:val="22"/>
          <w:szCs w:val="22"/>
        </w:rPr>
        <w:t xml:space="preserve">For additional information about GeoVax, visit our website: </w:t>
      </w:r>
      <w:hyperlink r:id="rId10" w:history="1">
        <w:r w:rsidRPr="0088456C">
          <w:rPr>
            <w:rFonts w:eastAsia="SimSun"/>
            <w:bCs/>
            <w:color w:val="0000FF"/>
            <w:sz w:val="22"/>
            <w:szCs w:val="22"/>
            <w:u w:val="single"/>
          </w:rPr>
          <w:t>www.geovax.com</w:t>
        </w:r>
      </w:hyperlink>
      <w:r w:rsidRPr="0088456C">
        <w:rPr>
          <w:rFonts w:eastAsia="SimSun"/>
          <w:bCs/>
          <w:sz w:val="22"/>
          <w:szCs w:val="22"/>
        </w:rPr>
        <w:t>.</w:t>
      </w:r>
    </w:p>
    <w:p w14:paraId="2A16FED2" w14:textId="77777777" w:rsidR="0088456C" w:rsidRPr="0088456C" w:rsidRDefault="0088456C" w:rsidP="0088456C">
      <w:pPr>
        <w:widowControl w:val="0"/>
        <w:autoSpaceDE w:val="0"/>
        <w:autoSpaceDN w:val="0"/>
        <w:adjustRightInd w:val="0"/>
        <w:spacing w:after="120"/>
        <w:jc w:val="both"/>
        <w:outlineLvl w:val="0"/>
        <w:rPr>
          <w:rFonts w:eastAsia="SimSun"/>
          <w:b/>
          <w:i/>
          <w:sz w:val="21"/>
          <w:szCs w:val="21"/>
        </w:rPr>
      </w:pPr>
      <w:r w:rsidRPr="0088456C">
        <w:rPr>
          <w:rFonts w:eastAsia="SimSun"/>
          <w:b/>
          <w:i/>
          <w:sz w:val="21"/>
          <w:szCs w:val="21"/>
        </w:rPr>
        <w:t>Forward-Looking Statements</w:t>
      </w:r>
    </w:p>
    <w:p w14:paraId="4F3A914F" w14:textId="77777777" w:rsidR="0088456C" w:rsidRPr="0088456C" w:rsidRDefault="0088456C" w:rsidP="0088456C">
      <w:pPr>
        <w:widowControl w:val="0"/>
        <w:shd w:val="clear" w:color="auto" w:fill="FFFFFF"/>
        <w:autoSpaceDE w:val="0"/>
        <w:autoSpaceDN w:val="0"/>
        <w:adjustRightInd w:val="0"/>
        <w:jc w:val="both"/>
        <w:rPr>
          <w:rFonts w:eastAsia="SimSun"/>
          <w:i/>
          <w:sz w:val="21"/>
          <w:szCs w:val="21"/>
        </w:rPr>
      </w:pPr>
      <w:r w:rsidRPr="0088456C">
        <w:rPr>
          <w:rFonts w:eastAsia="SimSun"/>
          <w:i/>
          <w:sz w:val="21"/>
          <w:szCs w:val="21"/>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w:t>
      </w:r>
      <w:r w:rsidRPr="0088456C">
        <w:rPr>
          <w:rFonts w:eastAsia="SimSun"/>
          <w:i/>
          <w:sz w:val="21"/>
          <w:szCs w:val="21"/>
        </w:rPr>
        <w:lastRenderedPageBreak/>
        <w:t xml:space="preserve">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14E572EF" w14:textId="77777777" w:rsidR="0088456C" w:rsidRPr="0088456C" w:rsidRDefault="0088456C" w:rsidP="0088456C">
      <w:pPr>
        <w:widowControl w:val="0"/>
        <w:shd w:val="clear" w:color="auto" w:fill="FFFFFF"/>
        <w:autoSpaceDE w:val="0"/>
        <w:autoSpaceDN w:val="0"/>
        <w:adjustRightInd w:val="0"/>
        <w:jc w:val="both"/>
        <w:rPr>
          <w:rFonts w:eastAsia="SimSun"/>
          <w:i/>
          <w:sz w:val="21"/>
          <w:szCs w:val="21"/>
        </w:rPr>
      </w:pPr>
    </w:p>
    <w:p w14:paraId="4176F3EB" w14:textId="77777777" w:rsidR="0088456C" w:rsidRPr="0088456C" w:rsidRDefault="0088456C" w:rsidP="0088456C">
      <w:pPr>
        <w:widowControl w:val="0"/>
        <w:shd w:val="clear" w:color="auto" w:fill="FFFFFF"/>
        <w:autoSpaceDE w:val="0"/>
        <w:autoSpaceDN w:val="0"/>
        <w:adjustRightInd w:val="0"/>
        <w:jc w:val="both"/>
        <w:rPr>
          <w:rFonts w:eastAsia="SimSun"/>
          <w:i/>
          <w:sz w:val="21"/>
          <w:szCs w:val="21"/>
        </w:rPr>
      </w:pPr>
      <w:r w:rsidRPr="0088456C">
        <w:rPr>
          <w:rFonts w:eastAsia="SimSun"/>
          <w:i/>
          <w:sz w:val="21"/>
          <w:szCs w:val="21"/>
        </w:rPr>
        <w:t>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as a result of new information, future developments or otherwise, except as may be required by law.</w:t>
      </w:r>
      <w:r w:rsidRPr="0088456C">
        <w:rPr>
          <w:rFonts w:eastAsia="SimSun"/>
          <w:b/>
          <w:bCs/>
          <w:i/>
          <w:sz w:val="21"/>
          <w:szCs w:val="21"/>
        </w:rPr>
        <w:t> </w:t>
      </w:r>
    </w:p>
    <w:p w14:paraId="0B7867F3" w14:textId="77777777" w:rsidR="0088456C" w:rsidRPr="0088456C" w:rsidRDefault="0088456C" w:rsidP="0088456C">
      <w:pPr>
        <w:rPr>
          <w:b/>
          <w:bCs/>
          <w:sz w:val="22"/>
          <w:szCs w:val="22"/>
        </w:rPr>
      </w:pPr>
    </w:p>
    <w:p w14:paraId="25388622" w14:textId="77777777" w:rsidR="0088456C" w:rsidRPr="0088456C" w:rsidRDefault="0088456C" w:rsidP="0088456C">
      <w:pPr>
        <w:rPr>
          <w:sz w:val="22"/>
          <w:szCs w:val="22"/>
        </w:rPr>
      </w:pPr>
      <w:r w:rsidRPr="0088456C">
        <w:rPr>
          <w:b/>
          <w:bCs/>
          <w:sz w:val="22"/>
          <w:szCs w:val="22"/>
        </w:rPr>
        <w:t>Contact:</w:t>
      </w:r>
    </w:p>
    <w:p w14:paraId="047E8A51" w14:textId="77777777" w:rsidR="0088456C" w:rsidRPr="0088456C" w:rsidRDefault="0088456C" w:rsidP="0088456C">
      <w:pPr>
        <w:rPr>
          <w:sz w:val="22"/>
          <w:szCs w:val="22"/>
        </w:rPr>
      </w:pPr>
      <w:r w:rsidRPr="0088456C">
        <w:rPr>
          <w:sz w:val="22"/>
          <w:szCs w:val="22"/>
        </w:rPr>
        <w:t>GeoVax Labs, Inc.</w:t>
      </w:r>
    </w:p>
    <w:p w14:paraId="058CEF3D" w14:textId="77777777" w:rsidR="0088456C" w:rsidRPr="0088456C" w:rsidRDefault="0088456C" w:rsidP="0088456C">
      <w:pPr>
        <w:rPr>
          <w:sz w:val="22"/>
          <w:szCs w:val="22"/>
        </w:rPr>
      </w:pPr>
      <w:r w:rsidRPr="0088456C">
        <w:rPr>
          <w:sz w:val="22"/>
          <w:szCs w:val="22"/>
        </w:rPr>
        <w:t>investor@geovax.com</w:t>
      </w:r>
    </w:p>
    <w:p w14:paraId="0AC2B847" w14:textId="77777777" w:rsidR="0088456C" w:rsidRPr="0088456C" w:rsidRDefault="0088456C" w:rsidP="0088456C">
      <w:pPr>
        <w:rPr>
          <w:sz w:val="22"/>
          <w:szCs w:val="22"/>
        </w:rPr>
      </w:pPr>
      <w:r w:rsidRPr="0088456C">
        <w:rPr>
          <w:sz w:val="22"/>
          <w:szCs w:val="22"/>
        </w:rPr>
        <w:t>678-384-7220</w:t>
      </w:r>
    </w:p>
    <w:p w14:paraId="6B242959" w14:textId="77777777" w:rsidR="0088456C" w:rsidRPr="0088456C" w:rsidRDefault="0088456C" w:rsidP="0088456C">
      <w:pPr>
        <w:spacing w:after="120"/>
        <w:jc w:val="both"/>
        <w:rPr>
          <w:rFonts w:eastAsia="SimSun"/>
          <w:color w:val="000000"/>
          <w:sz w:val="22"/>
          <w:szCs w:val="22"/>
        </w:rPr>
      </w:pPr>
    </w:p>
    <w:p w14:paraId="32438086" w14:textId="62A674A9" w:rsidR="0088456C" w:rsidRPr="0088456C" w:rsidRDefault="0088456C" w:rsidP="0088456C"/>
    <w:p w14:paraId="26D66B63" w14:textId="0AE26F56" w:rsidR="0088456C" w:rsidRPr="0088456C" w:rsidRDefault="0088456C" w:rsidP="0088456C"/>
    <w:p w14:paraId="2BD5FCD4" w14:textId="4B51088A" w:rsidR="0088456C" w:rsidRDefault="0088456C" w:rsidP="0088456C"/>
    <w:p w14:paraId="7EC16075" w14:textId="5B9E6FE6" w:rsidR="0088456C" w:rsidRDefault="0088456C" w:rsidP="0088456C"/>
    <w:p w14:paraId="6837AD15" w14:textId="3AF7F95D" w:rsidR="0088456C" w:rsidRPr="0088456C" w:rsidRDefault="0088456C" w:rsidP="0088456C">
      <w:pPr>
        <w:tabs>
          <w:tab w:val="left" w:pos="1545"/>
        </w:tabs>
      </w:pPr>
      <w:r>
        <w:tab/>
      </w:r>
    </w:p>
    <w:sectPr w:rsidR="0088456C" w:rsidRPr="0088456C">
      <w:headerReference w:type="default" r:id="rId11"/>
      <w:footerReference w:type="default" r:id="rId12"/>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DAC2" w14:textId="77777777" w:rsidR="003454FA" w:rsidRDefault="003454FA" w:rsidP="004422FB">
      <w:r>
        <w:separator/>
      </w:r>
    </w:p>
  </w:endnote>
  <w:endnote w:type="continuationSeparator" w:id="0">
    <w:p w14:paraId="586847F5" w14:textId="77777777" w:rsidR="003454FA" w:rsidRDefault="003454FA"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132C" w14:textId="77777777" w:rsidR="0088456C" w:rsidRDefault="0088456C" w:rsidP="00A7489D">
    <w:pPr>
      <w:pStyle w:val="Footer"/>
      <w:jc w:val="center"/>
    </w:pPr>
    <w:r>
      <w:fldChar w:fldCharType="begin"/>
    </w:r>
    <w:r>
      <w:instrText xml:space="preserve"> PAGE   \* MERGEFORMAT </w:instrText>
    </w:r>
    <w:r>
      <w:fldChar w:fldCharType="separate"/>
    </w:r>
    <w:r>
      <w:rPr>
        <w:noProof/>
      </w:rPr>
      <w:t>4</w:t>
    </w:r>
    <w:r>
      <w:rPr>
        <w:noProof/>
      </w:rPr>
      <w:fldChar w:fldCharType="end"/>
    </w:r>
  </w:p>
  <w:p w14:paraId="13785920" w14:textId="77777777" w:rsidR="0088456C" w:rsidRDefault="0088456C" w:rsidP="004422FB">
    <w:pPr>
      <w:pStyle w:val="Footer"/>
    </w:pPr>
  </w:p>
  <w:p w14:paraId="0AFFE7CF" w14:textId="77777777" w:rsidR="0088456C" w:rsidRDefault="0088456C"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A8B7" w14:textId="77777777" w:rsidR="003454FA" w:rsidRDefault="003454FA" w:rsidP="004422FB">
      <w:r>
        <w:separator/>
      </w:r>
    </w:p>
  </w:footnote>
  <w:footnote w:type="continuationSeparator" w:id="0">
    <w:p w14:paraId="236B96C4" w14:textId="77777777" w:rsidR="003454FA" w:rsidRDefault="003454FA"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1A5F" w14:textId="77777777" w:rsidR="0088456C" w:rsidRDefault="0088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94676">
    <w:abstractNumId w:val="0"/>
  </w:num>
  <w:num w:numId="2" w16cid:durableId="141165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50CC"/>
    <w:rsid w:val="000871C8"/>
    <w:rsid w:val="00087359"/>
    <w:rsid w:val="000949A2"/>
    <w:rsid w:val="00096511"/>
    <w:rsid w:val="000E6508"/>
    <w:rsid w:val="001139A5"/>
    <w:rsid w:val="0012601A"/>
    <w:rsid w:val="00134BBC"/>
    <w:rsid w:val="00172B54"/>
    <w:rsid w:val="0019489B"/>
    <w:rsid w:val="00196A86"/>
    <w:rsid w:val="001A0FE2"/>
    <w:rsid w:val="001A5BA8"/>
    <w:rsid w:val="001A687F"/>
    <w:rsid w:val="001B126A"/>
    <w:rsid w:val="001D3520"/>
    <w:rsid w:val="001E2AA8"/>
    <w:rsid w:val="002049D0"/>
    <w:rsid w:val="00246139"/>
    <w:rsid w:val="00277674"/>
    <w:rsid w:val="00296BF7"/>
    <w:rsid w:val="002A1A41"/>
    <w:rsid w:val="002A45C0"/>
    <w:rsid w:val="002B5A3E"/>
    <w:rsid w:val="002C2032"/>
    <w:rsid w:val="002C4E4A"/>
    <w:rsid w:val="002E60D1"/>
    <w:rsid w:val="00304DE8"/>
    <w:rsid w:val="00314FC4"/>
    <w:rsid w:val="00315CD1"/>
    <w:rsid w:val="00341E48"/>
    <w:rsid w:val="003454FA"/>
    <w:rsid w:val="0034645B"/>
    <w:rsid w:val="00362F3D"/>
    <w:rsid w:val="0036369E"/>
    <w:rsid w:val="00366C53"/>
    <w:rsid w:val="00376DEC"/>
    <w:rsid w:val="0037743D"/>
    <w:rsid w:val="003B670F"/>
    <w:rsid w:val="003E36C4"/>
    <w:rsid w:val="00401F33"/>
    <w:rsid w:val="004041FE"/>
    <w:rsid w:val="00404B0F"/>
    <w:rsid w:val="00415B30"/>
    <w:rsid w:val="0043642A"/>
    <w:rsid w:val="004422FB"/>
    <w:rsid w:val="004562CE"/>
    <w:rsid w:val="004759D1"/>
    <w:rsid w:val="00494777"/>
    <w:rsid w:val="004B3179"/>
    <w:rsid w:val="004D4E0A"/>
    <w:rsid w:val="004E6CB9"/>
    <w:rsid w:val="005108D6"/>
    <w:rsid w:val="0054576E"/>
    <w:rsid w:val="00552D47"/>
    <w:rsid w:val="0055647C"/>
    <w:rsid w:val="005765ED"/>
    <w:rsid w:val="00583D37"/>
    <w:rsid w:val="00587D9F"/>
    <w:rsid w:val="005A12FB"/>
    <w:rsid w:val="005B70A9"/>
    <w:rsid w:val="005F3C3F"/>
    <w:rsid w:val="00617074"/>
    <w:rsid w:val="00651320"/>
    <w:rsid w:val="00652DCC"/>
    <w:rsid w:val="00654112"/>
    <w:rsid w:val="00670AD9"/>
    <w:rsid w:val="00677F25"/>
    <w:rsid w:val="00691E45"/>
    <w:rsid w:val="006A30B4"/>
    <w:rsid w:val="006B4011"/>
    <w:rsid w:val="006C4831"/>
    <w:rsid w:val="006C673A"/>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74E8"/>
    <w:rsid w:val="0082793A"/>
    <w:rsid w:val="00883B50"/>
    <w:rsid w:val="0088456C"/>
    <w:rsid w:val="0089446A"/>
    <w:rsid w:val="008A5F28"/>
    <w:rsid w:val="008B66AE"/>
    <w:rsid w:val="008B71BC"/>
    <w:rsid w:val="008B7616"/>
    <w:rsid w:val="008C1C3D"/>
    <w:rsid w:val="008D3E76"/>
    <w:rsid w:val="008D7E3A"/>
    <w:rsid w:val="008E4E77"/>
    <w:rsid w:val="00903941"/>
    <w:rsid w:val="00922B4A"/>
    <w:rsid w:val="00964940"/>
    <w:rsid w:val="0096668D"/>
    <w:rsid w:val="009B15B2"/>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B00A81"/>
    <w:rsid w:val="00B32B67"/>
    <w:rsid w:val="00B33DA4"/>
    <w:rsid w:val="00B44E7B"/>
    <w:rsid w:val="00B4616E"/>
    <w:rsid w:val="00B51502"/>
    <w:rsid w:val="00B55645"/>
    <w:rsid w:val="00B57F61"/>
    <w:rsid w:val="00B610FD"/>
    <w:rsid w:val="00B61191"/>
    <w:rsid w:val="00BA446A"/>
    <w:rsid w:val="00BB7014"/>
    <w:rsid w:val="00BC6551"/>
    <w:rsid w:val="00BE0F8F"/>
    <w:rsid w:val="00BF415F"/>
    <w:rsid w:val="00C36B57"/>
    <w:rsid w:val="00C524E3"/>
    <w:rsid w:val="00C53991"/>
    <w:rsid w:val="00C713DF"/>
    <w:rsid w:val="00C815CE"/>
    <w:rsid w:val="00C86B46"/>
    <w:rsid w:val="00CB1EAA"/>
    <w:rsid w:val="00CB3D5C"/>
    <w:rsid w:val="00CC52F4"/>
    <w:rsid w:val="00CD0128"/>
    <w:rsid w:val="00CD55C2"/>
    <w:rsid w:val="00CE3919"/>
    <w:rsid w:val="00CF10FD"/>
    <w:rsid w:val="00D041E0"/>
    <w:rsid w:val="00D128D7"/>
    <w:rsid w:val="00D17971"/>
    <w:rsid w:val="00D215E7"/>
    <w:rsid w:val="00D53F6F"/>
    <w:rsid w:val="00D60567"/>
    <w:rsid w:val="00D95C48"/>
    <w:rsid w:val="00DE54BD"/>
    <w:rsid w:val="00DE728B"/>
    <w:rsid w:val="00DE7BBA"/>
    <w:rsid w:val="00DF2B44"/>
    <w:rsid w:val="00E115D3"/>
    <w:rsid w:val="00E30F6C"/>
    <w:rsid w:val="00E31534"/>
    <w:rsid w:val="00E57AE0"/>
    <w:rsid w:val="00E633E7"/>
    <w:rsid w:val="00E77BC6"/>
    <w:rsid w:val="00EB5CF9"/>
    <w:rsid w:val="00EC14ED"/>
    <w:rsid w:val="00EE3BF7"/>
    <w:rsid w:val="00EF5131"/>
    <w:rsid w:val="00F073F4"/>
    <w:rsid w:val="00F100FC"/>
    <w:rsid w:val="00F10BB8"/>
    <w:rsid w:val="00F13A9C"/>
    <w:rsid w:val="00F2058C"/>
    <w:rsid w:val="00F2190E"/>
    <w:rsid w:val="00F23A64"/>
    <w:rsid w:val="00F27385"/>
    <w:rsid w:val="00F51C02"/>
    <w:rsid w:val="00F53643"/>
    <w:rsid w:val="00F65C64"/>
    <w:rsid w:val="00F737D0"/>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ovax.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5</cp:revision>
  <dcterms:created xsi:type="dcterms:W3CDTF">2022-08-12T13:12:00Z</dcterms:created>
  <dcterms:modified xsi:type="dcterms:W3CDTF">2022-09-06T15:44:00Z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