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8F67B" w14:textId="77777777" w:rsidR="00C93244" w:rsidRPr="00C93244" w:rsidRDefault="001F2205" w:rsidP="00C93244">
      <w:pPr>
        <w:spacing w:line="240" w:lineRule="auto"/>
        <w:jc w:val="center"/>
        <w:rPr>
          <w:rFonts w:eastAsia="Times New Roman" w:cs="Times New Roman"/>
          <w:sz w:val="36"/>
          <w:szCs w:val="36"/>
        </w:rPr>
      </w:pPr>
      <w:r w:rsidRPr="00C93244">
        <w:rPr>
          <w:rFonts w:eastAsia="Times New Roman" w:cs="Times New Roman"/>
          <w:b/>
          <w:bCs/>
          <w:sz w:val="36"/>
          <w:szCs w:val="36"/>
        </w:rPr>
        <w:t>SECURITIES AND EXCHANGE COMMISSION</w:t>
      </w:r>
    </w:p>
    <w:p w14:paraId="4184B822"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WASHINGTON, D.C. 20549</w:t>
      </w:r>
    </w:p>
    <w:p w14:paraId="1B98B5F6"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 </w:t>
      </w:r>
    </w:p>
    <w:p w14:paraId="4C896E64" w14:textId="77777777" w:rsidR="00C93244" w:rsidRPr="00C93244" w:rsidRDefault="007E7E9D" w:rsidP="00C93244">
      <w:pPr>
        <w:spacing w:before="60" w:after="60" w:line="240" w:lineRule="auto"/>
        <w:rPr>
          <w:rFonts w:eastAsia="Times New Roman" w:cs="Times New Roman"/>
          <w:szCs w:val="20"/>
        </w:rPr>
      </w:pPr>
      <w:r>
        <w:rPr>
          <w:rFonts w:eastAsia="Times New Roman" w:cs="Times New Roman"/>
          <w:szCs w:val="20"/>
        </w:rPr>
        <w:pict w14:anchorId="16B0F6C1">
          <v:rect id="_x0000_i1025" style="width:117pt;height:.75pt" o:hrpct="250" o:hralign="center" o:hrstd="t" o:hrnoshade="t" o:hr="t" fillcolor="black" stroked="f"/>
        </w:pict>
      </w:r>
    </w:p>
    <w:p w14:paraId="4F5CCBDE"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 </w:t>
      </w:r>
    </w:p>
    <w:p w14:paraId="3605DFD0" w14:textId="77777777" w:rsidR="00C93244" w:rsidRPr="00C93244" w:rsidRDefault="001F2205" w:rsidP="00C93244">
      <w:pPr>
        <w:spacing w:line="240" w:lineRule="auto"/>
        <w:jc w:val="center"/>
        <w:rPr>
          <w:rFonts w:eastAsia="Times New Roman" w:cs="Times New Roman"/>
          <w:sz w:val="36"/>
          <w:szCs w:val="36"/>
        </w:rPr>
      </w:pPr>
      <w:r w:rsidRPr="00C93244">
        <w:rPr>
          <w:rFonts w:eastAsia="Times New Roman" w:cs="Times New Roman"/>
          <w:b/>
          <w:bCs/>
          <w:sz w:val="36"/>
          <w:szCs w:val="36"/>
        </w:rPr>
        <w:t>FORM 8-K</w:t>
      </w:r>
    </w:p>
    <w:p w14:paraId="1A67F213"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20BE8FA2"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CURRENT REPORT</w:t>
      </w:r>
    </w:p>
    <w:p w14:paraId="4998ED54"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Pursuant to Section 13 or 15(d) of the</w:t>
      </w:r>
    </w:p>
    <w:p w14:paraId="0AD58131"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Securities Exchange Act of 1934</w:t>
      </w:r>
    </w:p>
    <w:p w14:paraId="3BC9E7D4"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4BCF7E3E" w14:textId="2344AA99"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Date of report (Date of earli</w:t>
      </w:r>
      <w:r w:rsidR="00083A4A">
        <w:rPr>
          <w:rFonts w:eastAsia="Times New Roman" w:cs="Times New Roman"/>
          <w:b/>
          <w:bCs/>
          <w:szCs w:val="20"/>
        </w:rPr>
        <w:t>est event reported):  </w:t>
      </w:r>
      <w:r w:rsidR="008D6DE1">
        <w:rPr>
          <w:rFonts w:eastAsia="Times New Roman" w:cs="Times New Roman"/>
          <w:b/>
          <w:bCs/>
          <w:szCs w:val="20"/>
        </w:rPr>
        <w:t>November</w:t>
      </w:r>
      <w:r w:rsidR="00083A4A">
        <w:rPr>
          <w:rFonts w:eastAsia="Times New Roman" w:cs="Times New Roman"/>
          <w:b/>
          <w:bCs/>
          <w:szCs w:val="20"/>
        </w:rPr>
        <w:t xml:space="preserve"> </w:t>
      </w:r>
      <w:r w:rsidR="008D6DE1">
        <w:rPr>
          <w:rFonts w:eastAsia="Times New Roman" w:cs="Times New Roman"/>
          <w:b/>
          <w:bCs/>
          <w:szCs w:val="20"/>
        </w:rPr>
        <w:t>1</w:t>
      </w:r>
      <w:r w:rsidR="001C2B35">
        <w:rPr>
          <w:rFonts w:eastAsia="Times New Roman" w:cs="Times New Roman"/>
          <w:b/>
          <w:bCs/>
          <w:szCs w:val="20"/>
        </w:rPr>
        <w:t>4</w:t>
      </w:r>
      <w:r w:rsidRPr="00C93244">
        <w:rPr>
          <w:rFonts w:eastAsia="Times New Roman" w:cs="Times New Roman"/>
          <w:b/>
          <w:bCs/>
          <w:szCs w:val="20"/>
        </w:rPr>
        <w:t>, 2019</w:t>
      </w:r>
    </w:p>
    <w:p w14:paraId="722ADC46"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71515BC5"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593A7599" w14:textId="77777777" w:rsidR="00C93244" w:rsidRPr="00C93244" w:rsidRDefault="007E7E9D" w:rsidP="00C93244">
      <w:pPr>
        <w:spacing w:before="60" w:after="60" w:line="240" w:lineRule="auto"/>
        <w:rPr>
          <w:rFonts w:eastAsia="Times New Roman" w:cs="Times New Roman"/>
          <w:szCs w:val="20"/>
        </w:rPr>
      </w:pPr>
      <w:r>
        <w:rPr>
          <w:rFonts w:eastAsia="Times New Roman" w:cs="Times New Roman"/>
          <w:szCs w:val="20"/>
        </w:rPr>
        <w:pict w14:anchorId="1DF6FDE4">
          <v:rect id="_x0000_i1026" style="width:117pt;height:.75pt" o:hrpct="250" o:hralign="center" o:hrstd="t" o:hrnoshade="t" o:hr="t" fillcolor="black" stroked="f"/>
        </w:pict>
      </w:r>
    </w:p>
    <w:p w14:paraId="32BE511D" w14:textId="77777777" w:rsidR="00C93244" w:rsidRPr="00C93244" w:rsidRDefault="001F2205" w:rsidP="00C93244">
      <w:pPr>
        <w:spacing w:line="240" w:lineRule="auto"/>
        <w:jc w:val="center"/>
        <w:rPr>
          <w:rFonts w:eastAsia="Times New Roman" w:cs="Times New Roman"/>
          <w:sz w:val="24"/>
          <w:szCs w:val="24"/>
        </w:rPr>
      </w:pPr>
      <w:r w:rsidRPr="00C93244">
        <w:rPr>
          <w:rFonts w:eastAsia="Times New Roman" w:cs="Times New Roman"/>
          <w:b/>
          <w:bCs/>
          <w:sz w:val="24"/>
          <w:szCs w:val="24"/>
        </w:rPr>
        <w:t>GEOVAX LABS, INC.</w:t>
      </w:r>
    </w:p>
    <w:p w14:paraId="4A3A99E7"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(Exact name of registrant as specified in its charter)</w:t>
      </w:r>
    </w:p>
    <w:p w14:paraId="452F20FD"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D93790" w14:paraId="322ECD0B" w14:textId="77777777" w:rsidTr="00C93244">
        <w:trPr>
          <w:tblCellSpacing w:w="0" w:type="dxa"/>
        </w:trPr>
        <w:tc>
          <w:tcPr>
            <w:tcW w:w="1600" w:type="pct"/>
            <w:hideMark/>
          </w:tcPr>
          <w:p w14:paraId="3C115D3B"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Delaware</w:t>
            </w:r>
          </w:p>
        </w:tc>
        <w:tc>
          <w:tcPr>
            <w:tcW w:w="100" w:type="pct"/>
            <w:vAlign w:val="bottom"/>
            <w:hideMark/>
          </w:tcPr>
          <w:p w14:paraId="013279AD"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c>
        <w:tc>
          <w:tcPr>
            <w:tcW w:w="1600" w:type="pct"/>
            <w:hideMark/>
          </w:tcPr>
          <w:p w14:paraId="0872A224"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000-52091</w:t>
            </w:r>
          </w:p>
        </w:tc>
        <w:tc>
          <w:tcPr>
            <w:tcW w:w="100" w:type="pct"/>
            <w:vAlign w:val="bottom"/>
            <w:hideMark/>
          </w:tcPr>
          <w:p w14:paraId="30C2ECB6"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c>
        <w:tc>
          <w:tcPr>
            <w:tcW w:w="1600" w:type="pct"/>
            <w:hideMark/>
          </w:tcPr>
          <w:p w14:paraId="40FFD8D9"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87-0455038</w:t>
            </w:r>
          </w:p>
        </w:tc>
      </w:tr>
      <w:tr w:rsidR="00D93790" w14:paraId="24CB9175" w14:textId="77777777" w:rsidTr="00C93244">
        <w:trPr>
          <w:tblCellSpacing w:w="0" w:type="dxa"/>
        </w:trPr>
        <w:tc>
          <w:tcPr>
            <w:tcW w:w="1600" w:type="pct"/>
            <w:hideMark/>
          </w:tcPr>
          <w:p w14:paraId="487CF6D0"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(State or other jurisdiction of</w:t>
            </w:r>
          </w:p>
          <w:p w14:paraId="7D155EE7"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incorporation or organization)</w:t>
            </w:r>
          </w:p>
        </w:tc>
        <w:tc>
          <w:tcPr>
            <w:tcW w:w="100" w:type="pct"/>
            <w:vAlign w:val="bottom"/>
            <w:hideMark/>
          </w:tcPr>
          <w:p w14:paraId="37E6BFDA"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c>
        <w:tc>
          <w:tcPr>
            <w:tcW w:w="1600" w:type="pct"/>
            <w:hideMark/>
          </w:tcPr>
          <w:p w14:paraId="2A5AD275"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(Commission File No.)</w:t>
            </w:r>
          </w:p>
        </w:tc>
        <w:tc>
          <w:tcPr>
            <w:tcW w:w="100" w:type="pct"/>
            <w:vAlign w:val="bottom"/>
            <w:hideMark/>
          </w:tcPr>
          <w:p w14:paraId="7948982F"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tc>
        <w:tc>
          <w:tcPr>
            <w:tcW w:w="1600" w:type="pct"/>
            <w:hideMark/>
          </w:tcPr>
          <w:p w14:paraId="7103406D"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(IRS Employee Identification No.)</w:t>
            </w:r>
          </w:p>
        </w:tc>
      </w:tr>
    </w:tbl>
    <w:p w14:paraId="3097F2B9"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5047660B"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1900 Lake Park Drive, Suite 380</w:t>
      </w:r>
    </w:p>
    <w:p w14:paraId="5E228EBC"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Smyrna, Georgia 30080</w:t>
      </w:r>
    </w:p>
    <w:p w14:paraId="6ECA9ADC"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(Address of principal executive offices) (Zip code)</w:t>
      </w:r>
    </w:p>
    <w:p w14:paraId="6DA3DE95"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429EF34A"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(678) 384-7220</w:t>
      </w:r>
    </w:p>
    <w:p w14:paraId="66E82CC8"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(Registrant’s telephone number, including area code)</w:t>
      </w:r>
    </w:p>
    <w:p w14:paraId="740AD8C2"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szCs w:val="20"/>
        </w:rPr>
        <w:t> </w:t>
      </w:r>
    </w:p>
    <w:p w14:paraId="5F2A7E17" w14:textId="77777777" w:rsidR="00C93244" w:rsidRPr="00C93244" w:rsidRDefault="001F2205" w:rsidP="00C93244">
      <w:pPr>
        <w:spacing w:line="240" w:lineRule="auto"/>
        <w:rPr>
          <w:rFonts w:eastAsia="Times New Roman" w:cs="Times New Roman"/>
          <w:szCs w:val="20"/>
        </w:rPr>
      </w:pPr>
      <w:r w:rsidRPr="00C93244">
        <w:rPr>
          <w:rFonts w:eastAsia="Times New Roman" w:cs="Times New Roman"/>
          <w:szCs w:val="20"/>
        </w:rPr>
        <w:t> </w:t>
      </w:r>
    </w:p>
    <w:p w14:paraId="7C341CAE"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Check the appropriate box below if the Form 8-K filing is intended to simultaneously satisfy the filing obligation of the Registrant under any of the following provisions.</w:t>
      </w:r>
    </w:p>
    <w:p w14:paraId="763D47BA"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27F5A8FA"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 Written communications pursuant to Rule 425 under the Securities Act (17 CFR 230.425)</w:t>
      </w:r>
    </w:p>
    <w:p w14:paraId="166042C8"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05EEC2D5"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 Soliciting material pursuant to Rule 14a-12 under the Exchange Act (17 CFR240.14a-12)</w:t>
      </w:r>
    </w:p>
    <w:p w14:paraId="33B5267E"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479283B1"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 Pre-commencement communications pursuant to Rule 14d-2(b) under the Exchange Act (17 CFR 240.14d-2(b)).</w:t>
      </w:r>
    </w:p>
    <w:p w14:paraId="5AD307EC"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6CE3D4C7"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 Pre-commencement communications pursuant to Rule 13e-4(c) under the Exchange Act (17 CFR 240.13(e)-4(c))</w:t>
      </w:r>
    </w:p>
    <w:p w14:paraId="7B66D3A5"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32D25CCD"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Securities registered pursuant to Section 12(b) of the Act:  None</w:t>
      </w:r>
    </w:p>
    <w:p w14:paraId="4B3EE1B0"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46650623"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2CA94774"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Emerging growth company [ ]</w:t>
      </w:r>
    </w:p>
    <w:p w14:paraId="752705B4"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w:t>
      </w:r>
    </w:p>
    <w:p w14:paraId="7512BF0D"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If an emerging growth company, indicate by check mark if the Registrant has elected not to use the extended transition period for complying with any new or revised financial reporting standards provided pursuant to Section 13(a) of the Exchange Act. [ ]</w:t>
      </w:r>
    </w:p>
    <w:p w14:paraId="6B384EE1" w14:textId="77777777" w:rsidR="00EB2937" w:rsidRDefault="001F2205">
      <w:pPr>
        <w:spacing w:after="200"/>
        <w:rPr>
          <w:rFonts w:eastAsia="Times New Roman" w:cs="Times New Roman"/>
          <w:szCs w:val="20"/>
        </w:rPr>
      </w:pPr>
      <w:r>
        <w:rPr>
          <w:rFonts w:eastAsia="Times New Roman" w:cs="Times New Roman"/>
          <w:szCs w:val="20"/>
        </w:rPr>
        <w:br w:type="page"/>
      </w:r>
    </w:p>
    <w:p w14:paraId="5B7AFB2E" w14:textId="6B561411" w:rsidR="006107CA" w:rsidRPr="00254935" w:rsidRDefault="001F2205" w:rsidP="00254935">
      <w:pPr>
        <w:spacing w:line="240" w:lineRule="auto"/>
        <w:jc w:val="both"/>
        <w:rPr>
          <w:rFonts w:eastAsia="Times New Roman" w:cs="Times New Roman"/>
          <w:szCs w:val="20"/>
        </w:rPr>
      </w:pPr>
      <w:r w:rsidRPr="00C93244">
        <w:rPr>
          <w:rFonts w:eastAsia="Times New Roman" w:cs="Times New Roman"/>
          <w:szCs w:val="20"/>
        </w:rPr>
        <w:lastRenderedPageBreak/>
        <w:t xml:space="preserve">This Form 8-K and other reports filed by </w:t>
      </w:r>
      <w:proofErr w:type="spellStart"/>
      <w:r w:rsidRPr="00C93244">
        <w:rPr>
          <w:rFonts w:eastAsia="Times New Roman" w:cs="Times New Roman"/>
          <w:szCs w:val="20"/>
        </w:rPr>
        <w:t>GeoVax</w:t>
      </w:r>
      <w:proofErr w:type="spellEnd"/>
      <w:r w:rsidRPr="00C93244">
        <w:rPr>
          <w:rFonts w:eastAsia="Times New Roman" w:cs="Times New Roman"/>
          <w:szCs w:val="20"/>
        </w:rPr>
        <w:t xml:space="preserve">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1802E7EF" w14:textId="77777777" w:rsidR="00083A4A" w:rsidRPr="00C93244" w:rsidRDefault="00083A4A" w:rsidP="00C93244">
      <w:pPr>
        <w:spacing w:line="240" w:lineRule="auto"/>
        <w:jc w:val="both"/>
        <w:rPr>
          <w:rFonts w:eastAsia="Times New Roman" w:cs="Times New Roman"/>
          <w:b/>
          <w:szCs w:val="20"/>
        </w:rPr>
      </w:pPr>
    </w:p>
    <w:p w14:paraId="42887598" w14:textId="77777777" w:rsidR="00C93244" w:rsidRPr="00C93244" w:rsidRDefault="001F2205" w:rsidP="00B85E8A">
      <w:pPr>
        <w:tabs>
          <w:tab w:val="left" w:pos="1080"/>
        </w:tabs>
        <w:spacing w:line="240" w:lineRule="auto"/>
        <w:jc w:val="both"/>
        <w:rPr>
          <w:rFonts w:eastAsia="Times New Roman" w:cs="Times New Roman"/>
          <w:szCs w:val="20"/>
        </w:rPr>
      </w:pPr>
      <w:r>
        <w:rPr>
          <w:rFonts w:eastAsia="Times New Roman" w:cs="Times New Roman"/>
          <w:b/>
          <w:bCs/>
          <w:szCs w:val="20"/>
        </w:rPr>
        <w:t>Item 8.01</w:t>
      </w:r>
      <w:r>
        <w:rPr>
          <w:rFonts w:eastAsia="Times New Roman" w:cs="Times New Roman"/>
          <w:b/>
          <w:bCs/>
          <w:szCs w:val="20"/>
        </w:rPr>
        <w:tab/>
      </w:r>
      <w:r w:rsidRPr="00C93244">
        <w:rPr>
          <w:rFonts w:eastAsia="Times New Roman" w:cs="Times New Roman"/>
          <w:b/>
          <w:bCs/>
          <w:szCs w:val="20"/>
        </w:rPr>
        <w:t>Other Events</w:t>
      </w:r>
    </w:p>
    <w:p w14:paraId="7C6EB177" w14:textId="73E96DD3" w:rsidR="001C2B35" w:rsidRPr="00AA2E21" w:rsidRDefault="001C2B35" w:rsidP="00AA2E21">
      <w:pPr>
        <w:spacing w:line="240" w:lineRule="auto"/>
        <w:jc w:val="both"/>
        <w:rPr>
          <w:rFonts w:eastAsia="Times New Roman" w:cs="Times New Roman"/>
          <w:szCs w:val="20"/>
        </w:rPr>
      </w:pPr>
    </w:p>
    <w:p w14:paraId="5E797266" w14:textId="2724AA2D" w:rsidR="00AA2E21" w:rsidRDefault="00AA2E21" w:rsidP="00AA2E21">
      <w:pPr>
        <w:jc w:val="both"/>
      </w:pPr>
      <w:r>
        <w:t xml:space="preserve">As previously disclosed, on October 24, 2019, OTC Markets Group, Inc. notified the Company of non-compliance with OTCQB Standards Section 2.3(2), which requires an issuer to maintain a minimum closing bid price of $0.01 per share on at least one of the prior 30 consecutive calendar days.  OTC Market Group also notified the Company that if it fails to regain compliance by January 22, 2020 or if the closing bid price of the Company’s common stock falls below $0.001 at any time for five consecutive days, the Company will be immediately removed from the OTCQB marketplace.  </w:t>
      </w:r>
    </w:p>
    <w:p w14:paraId="44A15624" w14:textId="77777777" w:rsidR="00AA2E21" w:rsidRDefault="00AA2E21" w:rsidP="00AA2E21">
      <w:pPr>
        <w:jc w:val="both"/>
      </w:pPr>
    </w:p>
    <w:p w14:paraId="62A1E736" w14:textId="3F5D8C6E" w:rsidR="001C2B35" w:rsidRDefault="00AA2E21" w:rsidP="001C2B35">
      <w:pPr>
        <w:jc w:val="both"/>
      </w:pPr>
      <w:r>
        <w:t xml:space="preserve">On November 14, 2019, OTC Markets Group, Inc. notified the Company that the bid price of the Company’s common stock had closed below $0.001 for five consecutive days, and that the Company’s Common Stock will be removed from the OTCQB market effective November 15, 2019, but will continue to trade on the OTC Pink market.  Once the bid price closes at or above $0.01 for 30 consecutive days, the Company will have the option to reapply for listing its Common Stock on the OTCQB market. </w:t>
      </w:r>
      <w:bookmarkStart w:id="0" w:name="_GoBack"/>
      <w:bookmarkEnd w:id="0"/>
    </w:p>
    <w:p w14:paraId="79354969" w14:textId="0C4E43BF" w:rsidR="001C2B35" w:rsidRDefault="001C2B35" w:rsidP="00BC7F77">
      <w:pPr>
        <w:jc w:val="both"/>
      </w:pPr>
    </w:p>
    <w:p w14:paraId="3189C0F1" w14:textId="77777777" w:rsidR="001C2B35" w:rsidRPr="00BC7F77" w:rsidRDefault="001C2B35" w:rsidP="00BC7F77">
      <w:pPr>
        <w:jc w:val="both"/>
      </w:pPr>
    </w:p>
    <w:p w14:paraId="1DBF347D" w14:textId="77777777" w:rsidR="00C93244" w:rsidRPr="00C93244" w:rsidRDefault="001F2205" w:rsidP="00C93244">
      <w:pPr>
        <w:spacing w:line="240" w:lineRule="auto"/>
        <w:jc w:val="center"/>
        <w:rPr>
          <w:rFonts w:eastAsia="Times New Roman" w:cs="Times New Roman"/>
          <w:szCs w:val="20"/>
        </w:rPr>
      </w:pPr>
      <w:r w:rsidRPr="00C93244">
        <w:rPr>
          <w:rFonts w:eastAsia="Times New Roman" w:cs="Times New Roman"/>
          <w:b/>
          <w:bCs/>
          <w:szCs w:val="20"/>
        </w:rPr>
        <w:t>SIGNATURE</w:t>
      </w:r>
    </w:p>
    <w:p w14:paraId="4B4D5B47" w14:textId="77777777" w:rsidR="00C93244" w:rsidRPr="00C93244" w:rsidRDefault="00C93244" w:rsidP="00C93244">
      <w:pPr>
        <w:spacing w:line="240" w:lineRule="auto"/>
        <w:rPr>
          <w:rFonts w:eastAsia="Times New Roman" w:cs="Times New Roman"/>
          <w:szCs w:val="20"/>
        </w:rPr>
      </w:pPr>
    </w:p>
    <w:p w14:paraId="71B391A6" w14:textId="77777777"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Pursuant to the requirements of the Securities Exchange Act of 1934, the Registrant has duly caused this Current Report to be signed on its behalf by the undersigned hereunto duly authorized.</w:t>
      </w:r>
    </w:p>
    <w:p w14:paraId="10E78BDD" w14:textId="77777777" w:rsidR="00C93244" w:rsidRPr="00C93244" w:rsidRDefault="00C93244" w:rsidP="00C93244">
      <w:pPr>
        <w:spacing w:line="240" w:lineRule="auto"/>
        <w:jc w:val="both"/>
        <w:rPr>
          <w:rFonts w:eastAsia="Times New Roman" w:cs="Times New Roman"/>
          <w:szCs w:val="20"/>
        </w:rPr>
      </w:pPr>
    </w:p>
    <w:p w14:paraId="1DED48D2" w14:textId="5A95C770" w:rsidR="00C93244" w:rsidRPr="00C93244" w:rsidRDefault="001F2205" w:rsidP="00C93244">
      <w:pPr>
        <w:spacing w:line="240" w:lineRule="auto"/>
        <w:jc w:val="both"/>
        <w:rPr>
          <w:rFonts w:eastAsia="Times New Roman" w:cs="Times New Roman"/>
          <w:szCs w:val="20"/>
        </w:rPr>
      </w:pPr>
      <w:r w:rsidRPr="00C93244">
        <w:rPr>
          <w:rFonts w:eastAsia="Times New Roman" w:cs="Times New Roman"/>
          <w:szCs w:val="20"/>
        </w:rPr>
        <w:t xml:space="preserve">Dated: </w:t>
      </w:r>
      <w:r w:rsidR="00446426">
        <w:rPr>
          <w:rFonts w:eastAsia="Times New Roman" w:cs="Times New Roman"/>
          <w:szCs w:val="20"/>
        </w:rPr>
        <w:t>November</w:t>
      </w:r>
      <w:r w:rsidR="00830973" w:rsidRPr="00C93244">
        <w:rPr>
          <w:rFonts w:eastAsia="Times New Roman" w:cs="Times New Roman"/>
          <w:szCs w:val="20"/>
        </w:rPr>
        <w:t> </w:t>
      </w:r>
      <w:r w:rsidR="00830973">
        <w:rPr>
          <w:rFonts w:eastAsia="Times New Roman" w:cs="Times New Roman"/>
          <w:szCs w:val="20"/>
        </w:rPr>
        <w:t>1</w:t>
      </w:r>
      <w:r w:rsidR="00AA2E21">
        <w:rPr>
          <w:rFonts w:eastAsia="Times New Roman" w:cs="Times New Roman"/>
          <w:szCs w:val="20"/>
        </w:rPr>
        <w:t>4</w:t>
      </w:r>
      <w:r w:rsidRPr="00C93244">
        <w:rPr>
          <w:rFonts w:eastAsia="Times New Roman" w:cs="Times New Roman"/>
          <w:szCs w:val="20"/>
        </w:rPr>
        <w:t>, 2019</w:t>
      </w:r>
    </w:p>
    <w:p w14:paraId="330F6839" w14:textId="77777777" w:rsidR="00EB2937" w:rsidRDefault="00EB2937" w:rsidP="00C93244">
      <w:pPr>
        <w:spacing w:line="240" w:lineRule="auto"/>
        <w:jc w:val="both"/>
        <w:rPr>
          <w:rFonts w:eastAsia="Times New Roman" w:cs="Times New Roman"/>
          <w:szCs w:val="20"/>
        </w:rPr>
      </w:pPr>
    </w:p>
    <w:p w14:paraId="711E1491" w14:textId="77777777" w:rsidR="00722263" w:rsidRDefault="00722263" w:rsidP="00C93244">
      <w:pPr>
        <w:spacing w:line="240" w:lineRule="auto"/>
        <w:jc w:val="both"/>
        <w:rPr>
          <w:rFonts w:eastAsia="Times New Roman" w:cs="Times New Roman"/>
          <w:szCs w:val="20"/>
        </w:rPr>
      </w:pPr>
    </w:p>
    <w:p w14:paraId="2A07F1EB" w14:textId="77777777" w:rsidR="00722263" w:rsidRDefault="00722263" w:rsidP="00C93244">
      <w:pPr>
        <w:spacing w:line="240" w:lineRule="auto"/>
        <w:jc w:val="both"/>
        <w:rPr>
          <w:rFonts w:eastAsia="Times New Roman" w:cs="Times New Roman"/>
          <w:szCs w:val="20"/>
        </w:rPr>
      </w:pPr>
    </w:p>
    <w:p w14:paraId="0DD885F0" w14:textId="77777777" w:rsidR="00722263" w:rsidRDefault="001F2205" w:rsidP="00722263">
      <w:pPr>
        <w:spacing w:line="240" w:lineRule="auto"/>
        <w:ind w:left="4680"/>
        <w:jc w:val="both"/>
        <w:rPr>
          <w:rFonts w:eastAsia="Times New Roman" w:cs="Times New Roman"/>
          <w:szCs w:val="20"/>
        </w:rPr>
      </w:pPr>
      <w:r>
        <w:rPr>
          <w:rFonts w:eastAsia="Times New Roman" w:cs="Times New Roman"/>
          <w:szCs w:val="20"/>
        </w:rPr>
        <w:t>GEOVAX LABS, INC.</w:t>
      </w:r>
    </w:p>
    <w:p w14:paraId="4696F931" w14:textId="77777777" w:rsidR="00722263" w:rsidRDefault="00722263" w:rsidP="00722263">
      <w:pPr>
        <w:spacing w:line="240" w:lineRule="auto"/>
        <w:ind w:left="4680"/>
        <w:jc w:val="both"/>
        <w:rPr>
          <w:rFonts w:eastAsia="Times New Roman" w:cs="Times New Roman"/>
          <w:szCs w:val="20"/>
        </w:rPr>
      </w:pPr>
    </w:p>
    <w:p w14:paraId="28E29EB3" w14:textId="77777777" w:rsidR="00722263" w:rsidRDefault="00722263" w:rsidP="00722263">
      <w:pPr>
        <w:spacing w:line="240" w:lineRule="auto"/>
        <w:ind w:left="4680"/>
        <w:jc w:val="both"/>
        <w:rPr>
          <w:rFonts w:eastAsia="Times New Roman" w:cs="Times New Roman"/>
          <w:szCs w:val="20"/>
        </w:rPr>
      </w:pPr>
    </w:p>
    <w:p w14:paraId="18EF00F6" w14:textId="073C6AC7" w:rsidR="00722263" w:rsidRDefault="001F2205" w:rsidP="00722263">
      <w:pPr>
        <w:spacing w:line="240" w:lineRule="auto"/>
        <w:ind w:left="4680"/>
        <w:jc w:val="both"/>
        <w:rPr>
          <w:rFonts w:eastAsia="Times New Roman" w:cs="Times New Roman"/>
          <w:szCs w:val="20"/>
          <w:u w:val="single"/>
        </w:rPr>
      </w:pPr>
      <w:r>
        <w:rPr>
          <w:rFonts w:eastAsia="Times New Roman" w:cs="Times New Roman"/>
          <w:szCs w:val="20"/>
        </w:rPr>
        <w:t xml:space="preserve">By: </w:t>
      </w:r>
      <w:r>
        <w:rPr>
          <w:rFonts w:eastAsia="Times New Roman" w:cs="Times New Roman"/>
          <w:szCs w:val="20"/>
          <w:u w:val="single"/>
        </w:rPr>
        <w:tab/>
      </w:r>
      <w:r w:rsidR="001D3023">
        <w:rPr>
          <w:rFonts w:eastAsia="Times New Roman" w:cs="Times New Roman"/>
          <w:szCs w:val="20"/>
          <w:u w:val="single"/>
        </w:rPr>
        <w:t>/s/ Mark W. Reynolds</w:t>
      </w:r>
      <w:r>
        <w:rPr>
          <w:rFonts w:eastAsia="Times New Roman" w:cs="Times New Roman"/>
          <w:szCs w:val="20"/>
          <w:u w:val="single"/>
        </w:rPr>
        <w:tab/>
      </w:r>
      <w:r>
        <w:rPr>
          <w:rFonts w:eastAsia="Times New Roman" w:cs="Times New Roman"/>
          <w:szCs w:val="20"/>
          <w:u w:val="single"/>
        </w:rPr>
        <w:tab/>
      </w:r>
    </w:p>
    <w:p w14:paraId="24049F3B" w14:textId="77777777" w:rsidR="00722263" w:rsidRDefault="001F2205" w:rsidP="00722263">
      <w:pPr>
        <w:spacing w:line="240" w:lineRule="auto"/>
        <w:ind w:left="4680"/>
        <w:jc w:val="both"/>
        <w:rPr>
          <w:rFonts w:eastAsia="Times New Roman" w:cs="Times New Roman"/>
          <w:szCs w:val="20"/>
        </w:rPr>
      </w:pPr>
      <w:r>
        <w:rPr>
          <w:rFonts w:eastAsia="Times New Roman" w:cs="Times New Roman"/>
          <w:szCs w:val="20"/>
        </w:rPr>
        <w:tab/>
        <w:t>Mark W. Reynolds</w:t>
      </w:r>
    </w:p>
    <w:p w14:paraId="605D674F" w14:textId="77777777" w:rsidR="00722263" w:rsidRPr="00722263" w:rsidRDefault="001F2205" w:rsidP="00722263">
      <w:pPr>
        <w:spacing w:line="240" w:lineRule="auto"/>
        <w:ind w:left="4680"/>
        <w:jc w:val="both"/>
        <w:rPr>
          <w:rFonts w:eastAsia="Times New Roman" w:cs="Times New Roman"/>
          <w:szCs w:val="20"/>
        </w:rPr>
      </w:pPr>
      <w:r>
        <w:rPr>
          <w:rFonts w:eastAsia="Times New Roman" w:cs="Times New Roman"/>
          <w:szCs w:val="20"/>
        </w:rPr>
        <w:tab/>
        <w:t>Chief Financial Officer</w:t>
      </w:r>
    </w:p>
    <w:p w14:paraId="7A512979" w14:textId="77777777" w:rsidR="005E0FFA" w:rsidRPr="00B85E8A" w:rsidRDefault="005E0FFA" w:rsidP="00B85E8A">
      <w:pPr>
        <w:spacing w:line="240" w:lineRule="auto"/>
        <w:rPr>
          <w:rFonts w:eastAsia="Times New Roman" w:cs="Times New Roman"/>
          <w:szCs w:val="20"/>
        </w:rPr>
      </w:pPr>
    </w:p>
    <w:sectPr w:rsidR="005E0FFA" w:rsidRPr="00B85E8A" w:rsidSect="00722263">
      <w:footerReference w:type="default" r:id="rId7"/>
      <w:footerReference w:type="first" r:id="rId8"/>
      <w:pgSz w:w="12240" w:h="15840"/>
      <w:pgMar w:top="1440" w:right="1440" w:bottom="1440"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57D73" w14:textId="77777777" w:rsidR="00AA6C01" w:rsidRDefault="00AA6C01">
      <w:pPr>
        <w:spacing w:line="240" w:lineRule="auto"/>
      </w:pPr>
      <w:r>
        <w:separator/>
      </w:r>
    </w:p>
  </w:endnote>
  <w:endnote w:type="continuationSeparator" w:id="0">
    <w:p w14:paraId="4B2855A0" w14:textId="77777777" w:rsidR="00AA6C01" w:rsidRDefault="00AA6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D707" w14:textId="77777777" w:rsidR="00722263" w:rsidRDefault="001F2205" w:rsidP="00722263">
    <w:pPr>
      <w:pStyle w:val="Footer"/>
      <w:pBdr>
        <w:bottom w:val="single" w:sz="4" w:space="1" w:color="auto"/>
      </w:pBdr>
      <w:spacing w:after="60"/>
      <w:rPr>
        <w:noProof/>
      </w:rPr>
    </w:pPr>
    <w:r>
      <w:tab/>
    </w:r>
    <w:r>
      <w:fldChar w:fldCharType="begin"/>
    </w:r>
    <w:r>
      <w:instrText xml:space="preserve"> PAGE   \* MERGEFORMAT </w:instrText>
    </w:r>
    <w:r>
      <w:fldChar w:fldCharType="separate"/>
    </w:r>
    <w:r w:rsidR="001B3BEF">
      <w:rPr>
        <w:noProof/>
      </w:rPr>
      <w:t>2</w:t>
    </w:r>
    <w:r>
      <w:rPr>
        <w:noProof/>
      </w:rPr>
      <w:fldChar w:fldCharType="end"/>
    </w:r>
  </w:p>
  <w:p w14:paraId="62C21ADB" w14:textId="77777777" w:rsidR="00722263" w:rsidRPr="00722263" w:rsidRDefault="00722263" w:rsidP="00722263">
    <w:pPr>
      <w:pStyle w:val="Footer"/>
      <w:pBdr>
        <w:bottom w:val="single" w:sz="4" w:space="1" w:color="auto"/>
      </w:pBdr>
      <w:spacing w:after="60"/>
      <w:rPr>
        <w:sz w:val="2"/>
        <w:szCs w:val="2"/>
      </w:rPr>
    </w:pPr>
  </w:p>
  <w:p w14:paraId="4B8D324D" w14:textId="45909EC8" w:rsidR="001160B5" w:rsidRDefault="001160B5" w:rsidP="00116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27ED" w14:textId="77777777" w:rsidR="00722263" w:rsidRDefault="001F2205" w:rsidP="00722263">
    <w:pPr>
      <w:pStyle w:val="Footer"/>
      <w:pBdr>
        <w:bottom w:val="single" w:sz="4" w:space="1" w:color="auto"/>
      </w:pBdr>
      <w:spacing w:after="60"/>
      <w:rPr>
        <w:noProof/>
      </w:rPr>
    </w:pPr>
    <w:r>
      <w:tab/>
    </w:r>
    <w:r>
      <w:fldChar w:fldCharType="begin"/>
    </w:r>
    <w:r>
      <w:instrText xml:space="preserve"> PAGE   \* MERGEFORMAT </w:instrText>
    </w:r>
    <w:r>
      <w:fldChar w:fldCharType="separate"/>
    </w:r>
    <w:r w:rsidR="003545A0">
      <w:rPr>
        <w:noProof/>
      </w:rPr>
      <w:t>1</w:t>
    </w:r>
    <w:r>
      <w:rPr>
        <w:noProof/>
      </w:rPr>
      <w:fldChar w:fldCharType="end"/>
    </w:r>
  </w:p>
  <w:p w14:paraId="3CD077A1" w14:textId="77777777" w:rsidR="00722263" w:rsidRPr="00722263" w:rsidRDefault="00722263" w:rsidP="00722263">
    <w:pPr>
      <w:pStyle w:val="Footer"/>
      <w:pBdr>
        <w:bottom w:val="single" w:sz="4" w:space="1" w:color="auto"/>
      </w:pBdr>
      <w:spacing w:after="60"/>
      <w:rPr>
        <w:sz w:val="2"/>
        <w:szCs w:val="2"/>
      </w:rPr>
    </w:pPr>
  </w:p>
  <w:p w14:paraId="248A2EBC" w14:textId="2739B4A2" w:rsidR="008165A8" w:rsidRDefault="008165A8" w:rsidP="00816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08DF9" w14:textId="77777777" w:rsidR="00AA6C01" w:rsidRDefault="00AA6C01">
      <w:pPr>
        <w:spacing w:line="240" w:lineRule="auto"/>
      </w:pPr>
      <w:r>
        <w:separator/>
      </w:r>
    </w:p>
  </w:footnote>
  <w:footnote w:type="continuationSeparator" w:id="0">
    <w:p w14:paraId="37600A07" w14:textId="77777777" w:rsidR="00AA6C01" w:rsidRDefault="00AA6C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44"/>
    <w:rsid w:val="00083A4A"/>
    <w:rsid w:val="00102610"/>
    <w:rsid w:val="00115CC2"/>
    <w:rsid w:val="001160B5"/>
    <w:rsid w:val="001647FA"/>
    <w:rsid w:val="001B3BEF"/>
    <w:rsid w:val="001C2B35"/>
    <w:rsid w:val="001D3023"/>
    <w:rsid w:val="001F2205"/>
    <w:rsid w:val="00254935"/>
    <w:rsid w:val="00306854"/>
    <w:rsid w:val="00334C9D"/>
    <w:rsid w:val="003545A0"/>
    <w:rsid w:val="00405E74"/>
    <w:rsid w:val="00446426"/>
    <w:rsid w:val="00494404"/>
    <w:rsid w:val="005400AB"/>
    <w:rsid w:val="005E0FFA"/>
    <w:rsid w:val="005F271E"/>
    <w:rsid w:val="006107CA"/>
    <w:rsid w:val="006C5563"/>
    <w:rsid w:val="006E7B88"/>
    <w:rsid w:val="00722263"/>
    <w:rsid w:val="007B74FC"/>
    <w:rsid w:val="007E7E9D"/>
    <w:rsid w:val="008165A8"/>
    <w:rsid w:val="0082362B"/>
    <w:rsid w:val="00830973"/>
    <w:rsid w:val="00840863"/>
    <w:rsid w:val="008C3D7C"/>
    <w:rsid w:val="008D4E54"/>
    <w:rsid w:val="008D6DE1"/>
    <w:rsid w:val="009F6AAA"/>
    <w:rsid w:val="00AA2E21"/>
    <w:rsid w:val="00AA6C01"/>
    <w:rsid w:val="00AD14B3"/>
    <w:rsid w:val="00B40543"/>
    <w:rsid w:val="00B85E8A"/>
    <w:rsid w:val="00BC6627"/>
    <w:rsid w:val="00BC7F77"/>
    <w:rsid w:val="00C93244"/>
    <w:rsid w:val="00CC408E"/>
    <w:rsid w:val="00D841B1"/>
    <w:rsid w:val="00D93790"/>
    <w:rsid w:val="00DE19E2"/>
    <w:rsid w:val="00E03647"/>
    <w:rsid w:val="00EB2937"/>
    <w:rsid w:val="00F14E33"/>
    <w:rsid w:val="00F9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D49BCD"/>
  <w15:docId w15:val="{C3268E56-C52B-4CE0-976D-9BA84E24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263"/>
    <w:pPr>
      <w:spacing w:after="0"/>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0B5"/>
    <w:pPr>
      <w:tabs>
        <w:tab w:val="center" w:pos="4680"/>
        <w:tab w:val="right" w:pos="9360"/>
      </w:tabs>
      <w:spacing w:line="240" w:lineRule="auto"/>
    </w:pPr>
  </w:style>
  <w:style w:type="character" w:customStyle="1" w:styleId="HeaderChar">
    <w:name w:val="Header Char"/>
    <w:basedOn w:val="DefaultParagraphFont"/>
    <w:link w:val="Header"/>
    <w:uiPriority w:val="99"/>
    <w:rsid w:val="001160B5"/>
  </w:style>
  <w:style w:type="paragraph" w:styleId="Footer">
    <w:name w:val="footer"/>
    <w:basedOn w:val="Normal"/>
    <w:link w:val="FooterChar"/>
    <w:uiPriority w:val="99"/>
    <w:unhideWhenUsed/>
    <w:rsid w:val="001160B5"/>
    <w:pPr>
      <w:tabs>
        <w:tab w:val="center" w:pos="4680"/>
        <w:tab w:val="right" w:pos="9360"/>
      </w:tabs>
      <w:spacing w:line="240" w:lineRule="auto"/>
    </w:pPr>
  </w:style>
  <w:style w:type="character" w:customStyle="1" w:styleId="FooterChar">
    <w:name w:val="Footer Char"/>
    <w:basedOn w:val="DefaultParagraphFont"/>
    <w:link w:val="Footer"/>
    <w:uiPriority w:val="99"/>
    <w:rsid w:val="001160B5"/>
  </w:style>
  <w:style w:type="paragraph" w:styleId="NormalWeb">
    <w:name w:val="Normal (Web)"/>
    <w:basedOn w:val="Normal"/>
    <w:uiPriority w:val="99"/>
    <w:semiHidden/>
    <w:unhideWhenUsed/>
    <w:rsid w:val="006107C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Reynolds</cp:lastModifiedBy>
  <cp:revision>7</cp:revision>
  <cp:lastPrinted>1900-01-01T05:00:00Z</cp:lastPrinted>
  <dcterms:created xsi:type="dcterms:W3CDTF">2019-11-14T13:03:00Z</dcterms:created>
  <dcterms:modified xsi:type="dcterms:W3CDTF">2019-11-14T16:47:00Z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47800938v2</vt:lpwstr>
  </property>
</Properties>
</file>