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8F67B" w14:textId="77777777" w:rsidR="00C93244" w:rsidRPr="00C93244" w:rsidRDefault="001F2205" w:rsidP="00C93244">
      <w:pPr>
        <w:spacing w:line="240" w:lineRule="auto"/>
        <w:jc w:val="center"/>
        <w:rPr>
          <w:rFonts w:eastAsia="Times New Roman" w:cs="Times New Roman"/>
          <w:sz w:val="36"/>
          <w:szCs w:val="36"/>
        </w:rPr>
      </w:pPr>
      <w:r w:rsidRPr="00C93244">
        <w:rPr>
          <w:rFonts w:eastAsia="Times New Roman" w:cs="Times New Roman"/>
          <w:b/>
          <w:bCs/>
          <w:sz w:val="36"/>
          <w:szCs w:val="36"/>
        </w:rPr>
        <w:t>SECURITIES AND EXCHANGE COMMISSION</w:t>
      </w:r>
    </w:p>
    <w:p w14:paraId="4184B82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WASHINGTON, D.C. 20549</w:t>
      </w:r>
    </w:p>
    <w:p w14:paraId="1B98B5F6"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4C896E64" w14:textId="77777777" w:rsidR="00C93244" w:rsidRPr="00C93244" w:rsidRDefault="009F6AAA" w:rsidP="00C93244">
      <w:pPr>
        <w:spacing w:before="60" w:after="60" w:line="240" w:lineRule="auto"/>
        <w:rPr>
          <w:rFonts w:eastAsia="Times New Roman" w:cs="Times New Roman"/>
          <w:szCs w:val="20"/>
        </w:rPr>
      </w:pPr>
      <w:r>
        <w:rPr>
          <w:rFonts w:eastAsia="Times New Roman" w:cs="Times New Roman"/>
          <w:szCs w:val="20"/>
        </w:rPr>
        <w:pict w14:anchorId="16B0F6C1">
          <v:rect id="_x0000_i1025" style="width:117pt;height:.75pt" o:hrpct="250" o:hralign="center" o:hrstd="t" o:hrnoshade="t" o:hr="t" fillcolor="black" stroked="f"/>
        </w:pict>
      </w:r>
    </w:p>
    <w:p w14:paraId="4F5CCBD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3605DFD0" w14:textId="77777777" w:rsidR="00C93244" w:rsidRPr="00C93244" w:rsidRDefault="001F2205" w:rsidP="00C93244">
      <w:pPr>
        <w:spacing w:line="240" w:lineRule="auto"/>
        <w:jc w:val="center"/>
        <w:rPr>
          <w:rFonts w:eastAsia="Times New Roman" w:cs="Times New Roman"/>
          <w:sz w:val="36"/>
          <w:szCs w:val="36"/>
        </w:rPr>
      </w:pPr>
      <w:r w:rsidRPr="00C93244">
        <w:rPr>
          <w:rFonts w:eastAsia="Times New Roman" w:cs="Times New Roman"/>
          <w:b/>
          <w:bCs/>
          <w:sz w:val="36"/>
          <w:szCs w:val="36"/>
        </w:rPr>
        <w:t>FORM 8-K</w:t>
      </w:r>
    </w:p>
    <w:p w14:paraId="1A67F213"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20BE8FA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CURRENT REPORT</w:t>
      </w:r>
    </w:p>
    <w:p w14:paraId="4998ED54"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Pursuant to Section 13 or 15(d) of the</w:t>
      </w:r>
    </w:p>
    <w:p w14:paraId="0AD58131"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Securities Exchange Act of 1934</w:t>
      </w:r>
    </w:p>
    <w:p w14:paraId="3BC9E7D4"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4BCF7E3E" w14:textId="152E2B24"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Date of report (Date of earli</w:t>
      </w:r>
      <w:r w:rsidR="00083A4A">
        <w:rPr>
          <w:rFonts w:eastAsia="Times New Roman" w:cs="Times New Roman"/>
          <w:b/>
          <w:bCs/>
          <w:szCs w:val="20"/>
        </w:rPr>
        <w:t xml:space="preserve">est event reported):  October </w:t>
      </w:r>
      <w:r w:rsidR="008C3D7C">
        <w:rPr>
          <w:rFonts w:eastAsia="Times New Roman" w:cs="Times New Roman"/>
          <w:b/>
          <w:bCs/>
          <w:szCs w:val="20"/>
        </w:rPr>
        <w:t>24</w:t>
      </w:r>
      <w:r w:rsidRPr="00C93244">
        <w:rPr>
          <w:rFonts w:eastAsia="Times New Roman" w:cs="Times New Roman"/>
          <w:b/>
          <w:bCs/>
          <w:szCs w:val="20"/>
        </w:rPr>
        <w:t>, 2019</w:t>
      </w:r>
    </w:p>
    <w:p w14:paraId="722ADC46"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71515BC5"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593A7599" w14:textId="77777777" w:rsidR="00C93244" w:rsidRPr="00C93244" w:rsidRDefault="009F6AAA" w:rsidP="00C93244">
      <w:pPr>
        <w:spacing w:before="60" w:after="60" w:line="240" w:lineRule="auto"/>
        <w:rPr>
          <w:rFonts w:eastAsia="Times New Roman" w:cs="Times New Roman"/>
          <w:szCs w:val="20"/>
        </w:rPr>
      </w:pPr>
      <w:r>
        <w:rPr>
          <w:rFonts w:eastAsia="Times New Roman" w:cs="Times New Roman"/>
          <w:szCs w:val="20"/>
        </w:rPr>
        <w:pict w14:anchorId="1DF6FDE4">
          <v:rect id="_x0000_i1026" style="width:117pt;height:.75pt" o:hrpct="250" o:hralign="center" o:hrstd="t" o:hrnoshade="t" o:hr="t" fillcolor="black" stroked="f"/>
        </w:pict>
      </w:r>
    </w:p>
    <w:p w14:paraId="32BE511D" w14:textId="77777777" w:rsidR="00C93244" w:rsidRPr="00C93244" w:rsidRDefault="001F2205" w:rsidP="00C93244">
      <w:pPr>
        <w:spacing w:line="240" w:lineRule="auto"/>
        <w:jc w:val="center"/>
        <w:rPr>
          <w:rFonts w:eastAsia="Times New Roman" w:cs="Times New Roman"/>
          <w:sz w:val="24"/>
          <w:szCs w:val="24"/>
        </w:rPr>
      </w:pPr>
      <w:r w:rsidRPr="00C93244">
        <w:rPr>
          <w:rFonts w:eastAsia="Times New Roman" w:cs="Times New Roman"/>
          <w:b/>
          <w:bCs/>
          <w:sz w:val="24"/>
          <w:szCs w:val="24"/>
        </w:rPr>
        <w:t>GEOVAX LABS, INC.</w:t>
      </w:r>
    </w:p>
    <w:p w14:paraId="4A3A99E7"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(Exact name of registrant as specified in its charter)</w:t>
      </w:r>
    </w:p>
    <w:p w14:paraId="452F20FD"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D93790" w14:paraId="322ECD0B" w14:textId="77777777" w:rsidTr="00C93244">
        <w:trPr>
          <w:tblCellSpacing w:w="0" w:type="dxa"/>
        </w:trPr>
        <w:tc>
          <w:tcPr>
            <w:tcW w:w="1600" w:type="pct"/>
            <w:hideMark/>
          </w:tcPr>
          <w:p w14:paraId="3C115D3B"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Delaware</w:t>
            </w:r>
          </w:p>
        </w:tc>
        <w:tc>
          <w:tcPr>
            <w:tcW w:w="100" w:type="pct"/>
            <w:vAlign w:val="bottom"/>
            <w:hideMark/>
          </w:tcPr>
          <w:p w14:paraId="013279AD"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0872A224"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000-52091</w:t>
            </w:r>
          </w:p>
        </w:tc>
        <w:tc>
          <w:tcPr>
            <w:tcW w:w="100" w:type="pct"/>
            <w:vAlign w:val="bottom"/>
            <w:hideMark/>
          </w:tcPr>
          <w:p w14:paraId="30C2ECB6"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40FFD8D9"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87-0455038</w:t>
            </w:r>
          </w:p>
        </w:tc>
      </w:tr>
      <w:tr w:rsidR="00D93790" w14:paraId="24CB9175" w14:textId="77777777" w:rsidTr="00C93244">
        <w:trPr>
          <w:tblCellSpacing w:w="0" w:type="dxa"/>
        </w:trPr>
        <w:tc>
          <w:tcPr>
            <w:tcW w:w="1600" w:type="pct"/>
            <w:hideMark/>
          </w:tcPr>
          <w:p w14:paraId="487CF6D0"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(State or other jurisdiction of</w:t>
            </w:r>
          </w:p>
          <w:p w14:paraId="7D155EE7"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incorporation or organization)</w:t>
            </w:r>
          </w:p>
        </w:tc>
        <w:tc>
          <w:tcPr>
            <w:tcW w:w="100" w:type="pct"/>
            <w:vAlign w:val="bottom"/>
            <w:hideMark/>
          </w:tcPr>
          <w:p w14:paraId="37E6BFDA"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2A5AD275"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(Commission File No.)</w:t>
            </w:r>
          </w:p>
        </w:tc>
        <w:tc>
          <w:tcPr>
            <w:tcW w:w="100" w:type="pct"/>
            <w:vAlign w:val="bottom"/>
            <w:hideMark/>
          </w:tcPr>
          <w:p w14:paraId="7948982F"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7103406D"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(IRS Employee Identification No.)</w:t>
            </w:r>
          </w:p>
        </w:tc>
      </w:tr>
    </w:tbl>
    <w:p w14:paraId="3097F2B9"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5047660B"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1900 Lake Park Drive, Suite 380</w:t>
      </w:r>
    </w:p>
    <w:p w14:paraId="5E228EBC"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Smyrna, Georgia 30080</w:t>
      </w:r>
    </w:p>
    <w:p w14:paraId="6ECA9ADC"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(Address of principal executive offices) (Zip code)</w:t>
      </w:r>
    </w:p>
    <w:p w14:paraId="6DA3DE95"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429EF34A"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(678) 384-7220</w:t>
      </w:r>
    </w:p>
    <w:p w14:paraId="66E82CC8"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(Registrant’s telephone number, including area code)</w:t>
      </w:r>
    </w:p>
    <w:p w14:paraId="740AD8C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5F2A7E17"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7C341CAE"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Check the appropriate box below if the Form 8-K filing is intended to simultaneously satisfy the filing obligation of the Registrant under any of the following provisions.</w:t>
      </w:r>
    </w:p>
    <w:p w14:paraId="763D47BA"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27F5A8FA"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Written communications pursuant to Rule 425 under the Securities Act (17 CFR 230.425)</w:t>
      </w:r>
    </w:p>
    <w:p w14:paraId="166042C8"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05EEC2D5"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Soliciting material pursuant to Rule 14a-12 under the Exchange Act (17 CFR240.14a-12)</w:t>
      </w:r>
    </w:p>
    <w:p w14:paraId="33B5267E"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479283B1"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Pre-commencement communications pursuant to Rule 14d-2(b) under the Exchange Act (17 CFR 240.14d-2(b)).</w:t>
      </w:r>
    </w:p>
    <w:p w14:paraId="5AD307EC"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6CE3D4C7"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Pre-commencement communications pursuant to Rule 13e-4(c) under the Exchange Act (17 CFR 240.13(e)-4(c))</w:t>
      </w:r>
    </w:p>
    <w:p w14:paraId="7B66D3A5"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32D25CCD"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Securities registered pursuant to Section 12(b) of the Act:  None</w:t>
      </w:r>
    </w:p>
    <w:p w14:paraId="4B3EE1B0"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46650623"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CA94774"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Emerging growth company [ ]</w:t>
      </w:r>
    </w:p>
    <w:p w14:paraId="752705B4"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7512BF0D"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B384EE1" w14:textId="77777777" w:rsidR="00EB2937" w:rsidRDefault="001F2205">
      <w:pPr>
        <w:spacing w:after="200"/>
        <w:rPr>
          <w:rFonts w:eastAsia="Times New Roman" w:cs="Times New Roman"/>
          <w:szCs w:val="20"/>
        </w:rPr>
      </w:pPr>
      <w:r>
        <w:rPr>
          <w:rFonts w:eastAsia="Times New Roman" w:cs="Times New Roman"/>
          <w:szCs w:val="20"/>
        </w:rPr>
        <w:br w:type="page"/>
      </w:r>
    </w:p>
    <w:p w14:paraId="5B7AFB2E" w14:textId="6B561411" w:rsidR="006107CA" w:rsidRPr="00254935" w:rsidRDefault="001F2205" w:rsidP="00254935">
      <w:pPr>
        <w:spacing w:line="240" w:lineRule="auto"/>
        <w:jc w:val="both"/>
        <w:rPr>
          <w:rFonts w:eastAsia="Times New Roman" w:cs="Times New Roman"/>
          <w:szCs w:val="20"/>
        </w:rPr>
      </w:pPr>
      <w:r w:rsidRPr="00C93244">
        <w:rPr>
          <w:rFonts w:eastAsia="Times New Roman" w:cs="Times New Roman"/>
          <w:szCs w:val="20"/>
        </w:rPr>
        <w:lastRenderedPageBreak/>
        <w:t>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1802E7EF" w14:textId="77777777" w:rsidR="00083A4A" w:rsidRPr="00C93244" w:rsidRDefault="00083A4A" w:rsidP="00C93244">
      <w:pPr>
        <w:spacing w:line="240" w:lineRule="auto"/>
        <w:jc w:val="both"/>
        <w:rPr>
          <w:rFonts w:eastAsia="Times New Roman" w:cs="Times New Roman"/>
          <w:b/>
          <w:szCs w:val="20"/>
        </w:rPr>
      </w:pPr>
    </w:p>
    <w:p w14:paraId="42887598" w14:textId="77777777" w:rsidR="00C93244" w:rsidRPr="00C93244" w:rsidRDefault="001F2205" w:rsidP="00B85E8A">
      <w:pPr>
        <w:tabs>
          <w:tab w:val="left" w:pos="1080"/>
        </w:tabs>
        <w:spacing w:line="240" w:lineRule="auto"/>
        <w:jc w:val="both"/>
        <w:rPr>
          <w:rFonts w:eastAsia="Times New Roman" w:cs="Times New Roman"/>
          <w:szCs w:val="20"/>
        </w:rPr>
      </w:pPr>
      <w:r>
        <w:rPr>
          <w:rFonts w:eastAsia="Times New Roman" w:cs="Times New Roman"/>
          <w:b/>
          <w:bCs/>
          <w:szCs w:val="20"/>
        </w:rPr>
        <w:t>Item 8.01</w:t>
      </w:r>
      <w:r>
        <w:rPr>
          <w:rFonts w:eastAsia="Times New Roman" w:cs="Times New Roman"/>
          <w:b/>
          <w:bCs/>
          <w:szCs w:val="20"/>
        </w:rPr>
        <w:tab/>
      </w:r>
      <w:r w:rsidRPr="00C93244">
        <w:rPr>
          <w:rFonts w:eastAsia="Times New Roman" w:cs="Times New Roman"/>
          <w:b/>
          <w:bCs/>
          <w:szCs w:val="20"/>
        </w:rPr>
        <w:t>Other Events</w:t>
      </w:r>
    </w:p>
    <w:p w14:paraId="081423C9"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07AD8826" w14:textId="2795F076" w:rsidR="00C93244" w:rsidRPr="00C93244" w:rsidRDefault="00BC7F77" w:rsidP="00C93244">
      <w:pPr>
        <w:spacing w:line="240" w:lineRule="auto"/>
        <w:jc w:val="both"/>
        <w:rPr>
          <w:rFonts w:eastAsia="Times New Roman" w:cs="Times New Roman"/>
          <w:szCs w:val="20"/>
        </w:rPr>
      </w:pPr>
      <w:r>
        <w:rPr>
          <w:rFonts w:eastAsia="Times New Roman" w:cs="Times New Roman"/>
          <w:szCs w:val="20"/>
        </w:rPr>
        <w:t>During October</w:t>
      </w:r>
      <w:r w:rsidR="001F2205" w:rsidRPr="00C93244">
        <w:rPr>
          <w:rFonts w:eastAsia="Times New Roman" w:cs="Times New Roman"/>
          <w:szCs w:val="20"/>
        </w:rPr>
        <w:t xml:space="preserve"> 2019, holders of </w:t>
      </w:r>
      <w:r w:rsidR="00830973">
        <w:rPr>
          <w:rFonts w:eastAsia="Times New Roman" w:cs="Times New Roman"/>
          <w:szCs w:val="20"/>
        </w:rPr>
        <w:t>the Company’s</w:t>
      </w:r>
      <w:r w:rsidR="00830973" w:rsidRPr="00C93244">
        <w:rPr>
          <w:rFonts w:eastAsia="Times New Roman" w:cs="Times New Roman"/>
          <w:szCs w:val="20"/>
        </w:rPr>
        <w:t xml:space="preserve"> </w:t>
      </w:r>
      <w:r w:rsidR="001F2205" w:rsidRPr="00C93244">
        <w:rPr>
          <w:rFonts w:eastAsia="Times New Roman" w:cs="Times New Roman"/>
          <w:szCs w:val="20"/>
        </w:rPr>
        <w:t xml:space="preserve">Series H Convertible Preferred Stock converted approximately </w:t>
      </w:r>
      <w:r w:rsidR="00830973">
        <w:rPr>
          <w:rFonts w:eastAsia="Times New Roman" w:cs="Times New Roman"/>
          <w:szCs w:val="20"/>
        </w:rPr>
        <w:t>466</w:t>
      </w:r>
      <w:r w:rsidR="001F2205" w:rsidRPr="00C93244">
        <w:rPr>
          <w:rFonts w:eastAsia="Times New Roman" w:cs="Times New Roman"/>
          <w:szCs w:val="20"/>
        </w:rPr>
        <w:t xml:space="preserve"> shares of Series H Convertible Preferred Stock into </w:t>
      </w:r>
      <w:r w:rsidR="00830973">
        <w:rPr>
          <w:rFonts w:eastAsia="Times New Roman" w:cs="Times New Roman"/>
          <w:szCs w:val="20"/>
        </w:rPr>
        <w:t>330,000,000</w:t>
      </w:r>
      <w:r w:rsidR="001F2205" w:rsidRPr="00C93244">
        <w:rPr>
          <w:rFonts w:eastAsia="Times New Roman" w:cs="Times New Roman"/>
          <w:szCs w:val="20"/>
        </w:rPr>
        <w:t xml:space="preserve"> shares of </w:t>
      </w:r>
      <w:r w:rsidR="00830973">
        <w:rPr>
          <w:rFonts w:eastAsia="Times New Roman" w:cs="Times New Roman"/>
          <w:szCs w:val="20"/>
        </w:rPr>
        <w:t>c</w:t>
      </w:r>
      <w:r w:rsidR="001F2205" w:rsidRPr="00C93244">
        <w:rPr>
          <w:rFonts w:eastAsia="Times New Roman" w:cs="Times New Roman"/>
          <w:szCs w:val="20"/>
        </w:rPr>
        <w:t xml:space="preserve">ommon </w:t>
      </w:r>
      <w:r w:rsidR="00830973">
        <w:rPr>
          <w:rFonts w:eastAsia="Times New Roman" w:cs="Times New Roman"/>
          <w:szCs w:val="20"/>
        </w:rPr>
        <w:t>s</w:t>
      </w:r>
      <w:r w:rsidR="001F2205" w:rsidRPr="00C93244">
        <w:rPr>
          <w:rFonts w:eastAsia="Times New Roman" w:cs="Times New Roman"/>
          <w:szCs w:val="20"/>
        </w:rPr>
        <w:t xml:space="preserve">tock. The following table provides additional details concerning </w:t>
      </w:r>
      <w:r w:rsidR="00830973">
        <w:rPr>
          <w:rFonts w:eastAsia="Times New Roman" w:cs="Times New Roman"/>
          <w:szCs w:val="20"/>
        </w:rPr>
        <w:t>the Company’s</w:t>
      </w:r>
      <w:r w:rsidR="00830973" w:rsidRPr="00C93244">
        <w:rPr>
          <w:rFonts w:eastAsia="Times New Roman" w:cs="Times New Roman"/>
          <w:szCs w:val="20"/>
        </w:rPr>
        <w:t xml:space="preserve"> </w:t>
      </w:r>
      <w:r w:rsidR="001F2205" w:rsidRPr="00C93244">
        <w:rPr>
          <w:rFonts w:eastAsia="Times New Roman" w:cs="Times New Roman"/>
          <w:szCs w:val="20"/>
        </w:rPr>
        <w:t xml:space="preserve">outstanding </w:t>
      </w:r>
      <w:r w:rsidR="00254935">
        <w:rPr>
          <w:rFonts w:eastAsia="Times New Roman" w:cs="Times New Roman"/>
          <w:szCs w:val="20"/>
        </w:rPr>
        <w:t>common and preferred</w:t>
      </w:r>
      <w:r w:rsidR="001F2205" w:rsidRPr="00C93244">
        <w:rPr>
          <w:rFonts w:eastAsia="Times New Roman" w:cs="Times New Roman"/>
          <w:szCs w:val="20"/>
        </w:rPr>
        <w:t xml:space="preserve"> stock.</w:t>
      </w:r>
    </w:p>
    <w:p w14:paraId="274CE123"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b/>
          <w:bCs/>
          <w:szCs w:val="20"/>
        </w:rPr>
        <w:t>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36"/>
        <w:gridCol w:w="3027"/>
        <w:gridCol w:w="3027"/>
      </w:tblGrid>
      <w:tr w:rsidR="00D93790" w14:paraId="58007D35" w14:textId="77777777" w:rsidTr="00C93244">
        <w:trPr>
          <w:tblCellSpacing w:w="0" w:type="dxa"/>
        </w:trPr>
        <w:tc>
          <w:tcPr>
            <w:tcW w:w="1775" w:type="pct"/>
            <w:tcBorders>
              <w:bottom w:val="single" w:sz="6" w:space="0" w:color="000000"/>
            </w:tcBorders>
            <w:vAlign w:val="bottom"/>
            <w:hideMark/>
          </w:tcPr>
          <w:p w14:paraId="4B65D28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Class</w:t>
            </w:r>
          </w:p>
        </w:tc>
        <w:tc>
          <w:tcPr>
            <w:tcW w:w="1610" w:type="pct"/>
            <w:tcBorders>
              <w:left w:val="single" w:sz="6" w:space="0" w:color="000000"/>
              <w:bottom w:val="single" w:sz="6" w:space="0" w:color="000000"/>
              <w:right w:val="single" w:sz="6" w:space="0" w:color="000000"/>
            </w:tcBorders>
            <w:hideMark/>
          </w:tcPr>
          <w:p w14:paraId="1C4B7F6F"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September 30, 2019</w:t>
            </w:r>
          </w:p>
          <w:p w14:paraId="176483B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Outstanding Shares</w:t>
            </w:r>
          </w:p>
        </w:tc>
        <w:tc>
          <w:tcPr>
            <w:tcW w:w="1610" w:type="pct"/>
            <w:tcBorders>
              <w:bottom w:val="single" w:sz="6" w:space="0" w:color="000000"/>
            </w:tcBorders>
            <w:hideMark/>
          </w:tcPr>
          <w:p w14:paraId="061ECF44" w14:textId="67FB24A0" w:rsidR="00C93244" w:rsidRPr="00C93244" w:rsidRDefault="001F2205" w:rsidP="00C93244">
            <w:pPr>
              <w:spacing w:line="240" w:lineRule="auto"/>
              <w:jc w:val="center"/>
              <w:rPr>
                <w:rFonts w:eastAsia="Times New Roman" w:cs="Times New Roman"/>
                <w:szCs w:val="20"/>
              </w:rPr>
            </w:pPr>
            <w:r>
              <w:rPr>
                <w:rFonts w:eastAsia="Times New Roman" w:cs="Times New Roman"/>
                <w:b/>
                <w:bCs/>
                <w:szCs w:val="20"/>
              </w:rPr>
              <w:t>October </w:t>
            </w:r>
            <w:r w:rsidR="00830973">
              <w:rPr>
                <w:rFonts w:eastAsia="Times New Roman" w:cs="Times New Roman"/>
                <w:b/>
                <w:bCs/>
                <w:szCs w:val="20"/>
              </w:rPr>
              <w:t>31</w:t>
            </w:r>
            <w:r>
              <w:rPr>
                <w:rFonts w:eastAsia="Times New Roman" w:cs="Times New Roman"/>
                <w:b/>
                <w:bCs/>
                <w:szCs w:val="20"/>
              </w:rPr>
              <w:t>,</w:t>
            </w:r>
            <w:r w:rsidRPr="00C93244">
              <w:rPr>
                <w:rFonts w:eastAsia="Times New Roman" w:cs="Times New Roman"/>
                <w:b/>
                <w:bCs/>
                <w:szCs w:val="20"/>
              </w:rPr>
              <w:t xml:space="preserve"> 2019</w:t>
            </w:r>
          </w:p>
          <w:p w14:paraId="670222D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Outstanding Shares</w:t>
            </w:r>
          </w:p>
        </w:tc>
      </w:tr>
      <w:tr w:rsidR="00D93790" w14:paraId="50E5F7FF" w14:textId="77777777" w:rsidTr="00C93244">
        <w:trPr>
          <w:tblCellSpacing w:w="0" w:type="dxa"/>
        </w:trPr>
        <w:tc>
          <w:tcPr>
            <w:tcW w:w="1775" w:type="pct"/>
            <w:tcBorders>
              <w:bottom w:val="single" w:sz="6" w:space="0" w:color="000000"/>
            </w:tcBorders>
            <w:hideMark/>
          </w:tcPr>
          <w:p w14:paraId="25D03CF0"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Common Stock</w:t>
            </w:r>
            <w:r w:rsidRPr="00C93244">
              <w:rPr>
                <w:rFonts w:eastAsia="Times New Roman" w:cs="Times New Roman"/>
                <w:szCs w:val="20"/>
              </w:rPr>
              <w:br/>
              <w:t>$0.01 par value</w:t>
            </w:r>
          </w:p>
        </w:tc>
        <w:tc>
          <w:tcPr>
            <w:tcW w:w="1610" w:type="pct"/>
            <w:tcBorders>
              <w:left w:val="single" w:sz="6" w:space="0" w:color="000000"/>
              <w:bottom w:val="single" w:sz="6" w:space="0" w:color="000000"/>
              <w:right w:val="single" w:sz="6" w:space="0" w:color="000000"/>
            </w:tcBorders>
            <w:vAlign w:val="bottom"/>
            <w:hideMark/>
          </w:tcPr>
          <w:p w14:paraId="40BE7F21"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95,627,587</w:t>
            </w:r>
          </w:p>
        </w:tc>
        <w:tc>
          <w:tcPr>
            <w:tcW w:w="1610" w:type="pct"/>
            <w:tcBorders>
              <w:bottom w:val="single" w:sz="6" w:space="0" w:color="000000"/>
            </w:tcBorders>
            <w:vAlign w:val="bottom"/>
            <w:hideMark/>
          </w:tcPr>
          <w:p w14:paraId="671FFAD0" w14:textId="7F181D11" w:rsidR="00C93244" w:rsidRPr="00C93244" w:rsidRDefault="00830973" w:rsidP="00C93244">
            <w:pPr>
              <w:spacing w:line="240" w:lineRule="auto"/>
              <w:jc w:val="center"/>
              <w:rPr>
                <w:rFonts w:eastAsia="Times New Roman" w:cs="Times New Roman"/>
                <w:szCs w:val="20"/>
              </w:rPr>
            </w:pPr>
            <w:r>
              <w:rPr>
                <w:rFonts w:eastAsia="Times New Roman" w:cs="Times New Roman"/>
                <w:szCs w:val="20"/>
              </w:rPr>
              <w:t>426,306,328</w:t>
            </w:r>
          </w:p>
        </w:tc>
      </w:tr>
      <w:tr w:rsidR="00D93790" w14:paraId="7214043B" w14:textId="77777777" w:rsidTr="00C93244">
        <w:trPr>
          <w:tblCellSpacing w:w="0" w:type="dxa"/>
        </w:trPr>
        <w:tc>
          <w:tcPr>
            <w:tcW w:w="1775" w:type="pct"/>
            <w:tcBorders>
              <w:bottom w:val="single" w:sz="6" w:space="0" w:color="000000"/>
            </w:tcBorders>
            <w:vAlign w:val="center"/>
            <w:hideMark/>
          </w:tcPr>
          <w:p w14:paraId="2167C3D6"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Series B Convertible</w:t>
            </w:r>
            <w:r w:rsidRPr="00C93244">
              <w:rPr>
                <w:rFonts w:eastAsia="Times New Roman" w:cs="Times New Roman"/>
                <w:szCs w:val="20"/>
              </w:rPr>
              <w:br/>
              <w:t>Preferred Stock, $0.01 par value</w:t>
            </w:r>
          </w:p>
        </w:tc>
        <w:tc>
          <w:tcPr>
            <w:tcW w:w="1610" w:type="pct"/>
            <w:tcBorders>
              <w:left w:val="single" w:sz="6" w:space="0" w:color="000000"/>
              <w:bottom w:val="single" w:sz="6" w:space="0" w:color="000000"/>
              <w:right w:val="single" w:sz="6" w:space="0" w:color="000000"/>
            </w:tcBorders>
            <w:vAlign w:val="bottom"/>
            <w:hideMark/>
          </w:tcPr>
          <w:p w14:paraId="24D0A62F"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100</w:t>
            </w:r>
          </w:p>
          <w:p w14:paraId="738430D0"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($100,000 stated value)</w:t>
            </w:r>
          </w:p>
        </w:tc>
        <w:tc>
          <w:tcPr>
            <w:tcW w:w="1610" w:type="pct"/>
            <w:tcBorders>
              <w:bottom w:val="single" w:sz="6" w:space="0" w:color="000000"/>
            </w:tcBorders>
            <w:vAlign w:val="bottom"/>
            <w:hideMark/>
          </w:tcPr>
          <w:p w14:paraId="3151904D"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100</w:t>
            </w:r>
          </w:p>
          <w:p w14:paraId="2119B3D0"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($100,000 stated value)</w:t>
            </w:r>
          </w:p>
        </w:tc>
      </w:tr>
      <w:tr w:rsidR="00D93790" w14:paraId="3E29F4D6" w14:textId="77777777" w:rsidTr="00C93244">
        <w:trPr>
          <w:tblCellSpacing w:w="0" w:type="dxa"/>
        </w:trPr>
        <w:tc>
          <w:tcPr>
            <w:tcW w:w="1775" w:type="pct"/>
            <w:tcBorders>
              <w:bottom w:val="single" w:sz="6" w:space="0" w:color="000000"/>
            </w:tcBorders>
            <w:hideMark/>
          </w:tcPr>
          <w:p w14:paraId="04F34B31"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Series H Convertible</w:t>
            </w:r>
            <w:r w:rsidRPr="00C93244">
              <w:rPr>
                <w:rFonts w:eastAsia="Times New Roman" w:cs="Times New Roman"/>
                <w:szCs w:val="20"/>
              </w:rPr>
              <w:br/>
              <w:t>Preferred Stock, $0.01 par value</w:t>
            </w:r>
          </w:p>
        </w:tc>
        <w:tc>
          <w:tcPr>
            <w:tcW w:w="1610" w:type="pct"/>
            <w:tcBorders>
              <w:left w:val="single" w:sz="6" w:space="0" w:color="000000"/>
              <w:bottom w:val="single" w:sz="6" w:space="0" w:color="000000"/>
              <w:right w:val="single" w:sz="6" w:space="0" w:color="000000"/>
            </w:tcBorders>
            <w:vAlign w:val="bottom"/>
            <w:hideMark/>
          </w:tcPr>
          <w:p w14:paraId="04983EB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2,254</w:t>
            </w:r>
          </w:p>
          <w:p w14:paraId="5FABAB61"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($2,253,782 stated value)</w:t>
            </w:r>
          </w:p>
        </w:tc>
        <w:tc>
          <w:tcPr>
            <w:tcW w:w="1610" w:type="pct"/>
            <w:tcBorders>
              <w:bottom w:val="single" w:sz="6" w:space="0" w:color="000000"/>
            </w:tcBorders>
            <w:vAlign w:val="bottom"/>
            <w:hideMark/>
          </w:tcPr>
          <w:p w14:paraId="57DA9675" w14:textId="28B8F514" w:rsidR="00C93244" w:rsidRPr="00C93244" w:rsidRDefault="00830973" w:rsidP="00C93244">
            <w:pPr>
              <w:spacing w:line="240" w:lineRule="auto"/>
              <w:jc w:val="center"/>
              <w:rPr>
                <w:rFonts w:eastAsia="Times New Roman" w:cs="Times New Roman"/>
                <w:szCs w:val="20"/>
              </w:rPr>
            </w:pPr>
            <w:r>
              <w:rPr>
                <w:rFonts w:eastAsia="Times New Roman" w:cs="Times New Roman"/>
                <w:szCs w:val="20"/>
              </w:rPr>
              <w:t>1,788</w:t>
            </w:r>
          </w:p>
          <w:p w14:paraId="77CAE7C2" w14:textId="5A9EC9C5"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($1,</w:t>
            </w:r>
            <w:r w:rsidR="00830973">
              <w:rPr>
                <w:rFonts w:eastAsia="Times New Roman" w:cs="Times New Roman"/>
                <w:szCs w:val="20"/>
              </w:rPr>
              <w:t>788,182</w:t>
            </w:r>
            <w:r w:rsidRPr="00C93244">
              <w:rPr>
                <w:rFonts w:eastAsia="Times New Roman" w:cs="Times New Roman"/>
                <w:szCs w:val="20"/>
              </w:rPr>
              <w:t xml:space="preserve"> stated value)</w:t>
            </w:r>
          </w:p>
        </w:tc>
      </w:tr>
      <w:tr w:rsidR="00D93790" w14:paraId="4A8C5FD0" w14:textId="77777777" w:rsidTr="00C93244">
        <w:trPr>
          <w:tblCellSpacing w:w="0" w:type="dxa"/>
        </w:trPr>
        <w:tc>
          <w:tcPr>
            <w:tcW w:w="1775" w:type="pct"/>
            <w:hideMark/>
          </w:tcPr>
          <w:p w14:paraId="6AA29D37"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Series I Convertible</w:t>
            </w:r>
            <w:r w:rsidRPr="00C93244">
              <w:rPr>
                <w:rFonts w:eastAsia="Times New Roman" w:cs="Times New Roman"/>
                <w:szCs w:val="20"/>
              </w:rPr>
              <w:br/>
              <w:t>Preferred Stock, $0.01 par value</w:t>
            </w:r>
          </w:p>
        </w:tc>
        <w:tc>
          <w:tcPr>
            <w:tcW w:w="1610" w:type="pct"/>
            <w:tcBorders>
              <w:left w:val="single" w:sz="6" w:space="0" w:color="000000"/>
              <w:right w:val="single" w:sz="6" w:space="0" w:color="000000"/>
            </w:tcBorders>
            <w:vAlign w:val="bottom"/>
            <w:hideMark/>
          </w:tcPr>
          <w:p w14:paraId="7B764143"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700</w:t>
            </w:r>
          </w:p>
          <w:p w14:paraId="02B291F8"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($700,000 stated value)</w:t>
            </w:r>
          </w:p>
        </w:tc>
        <w:tc>
          <w:tcPr>
            <w:tcW w:w="1610" w:type="pct"/>
            <w:vAlign w:val="bottom"/>
            <w:hideMark/>
          </w:tcPr>
          <w:p w14:paraId="1796767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700</w:t>
            </w:r>
          </w:p>
          <w:p w14:paraId="024C7760"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($700,000 stated value)</w:t>
            </w:r>
          </w:p>
        </w:tc>
      </w:tr>
    </w:tbl>
    <w:p w14:paraId="0644826A" w14:textId="77777777" w:rsidR="00722263" w:rsidRDefault="00722263" w:rsidP="00722263">
      <w:pPr>
        <w:spacing w:line="240" w:lineRule="auto"/>
        <w:rPr>
          <w:rFonts w:eastAsia="Times New Roman" w:cs="Times New Roman"/>
          <w:szCs w:val="20"/>
        </w:rPr>
      </w:pPr>
    </w:p>
    <w:p w14:paraId="2EE93E47" w14:textId="4F2FF4DA" w:rsidR="005400AB" w:rsidRPr="005400AB" w:rsidRDefault="001F2205" w:rsidP="001B3BEF">
      <w:pPr>
        <w:jc w:val="both"/>
      </w:pPr>
      <w:r w:rsidRPr="005400AB">
        <w:t xml:space="preserve">If the trading price for the Company’s common stock remains at current levels, then there are insufficient unissued shares of authorized common stock to fulfill the Company’s obligations to issue </w:t>
      </w:r>
      <w:r w:rsidR="00722263">
        <w:t>common stock</w:t>
      </w:r>
      <w:r w:rsidRPr="005400AB">
        <w:t xml:space="preserve"> upon conversion of convertible preferred s</w:t>
      </w:r>
      <w:r>
        <w:t>tock</w:t>
      </w:r>
      <w:r w:rsidR="00722263">
        <w:t xml:space="preserve"> and exercise of</w:t>
      </w:r>
      <w:r w:rsidRPr="005400AB">
        <w:t xml:space="preserve"> warrants</w:t>
      </w:r>
      <w:r w:rsidR="00494404">
        <w:t>.</w:t>
      </w:r>
      <w:r w:rsidRPr="005400AB">
        <w:t xml:space="preserve"> If the Company is unable to deliver common stock upon the conversion of convertible preferred stock or the exercise of warrants, then the Company may be required to pay liquidated damages, costs incurred by the investors for “buying in” shares to cover trades, and other amounts.  These costs could be substantial and have a material adverse effect on the Company’s financial position and the trading price for the Company’s common stock.</w:t>
      </w:r>
      <w:r w:rsidR="00494404">
        <w:t xml:space="preserve"> I</w:t>
      </w:r>
      <w:r w:rsidRPr="005400AB">
        <w:t xml:space="preserve">n addition to the possible adverse consequences to the Company arising from its obligations to </w:t>
      </w:r>
      <w:r w:rsidR="00830973">
        <w:t>the holders of convertible preferred stock</w:t>
      </w:r>
      <w:r w:rsidRPr="005400AB">
        <w:t>, if the Company has insufficient authorized shares of common stock available, it will not be unable to raise capital from the sale of such shares, nor will it be able to honor existing obligations under outstanding options or warrants</w:t>
      </w:r>
      <w:r w:rsidR="00722263" w:rsidRPr="005400AB">
        <w:t xml:space="preserve">.  </w:t>
      </w:r>
      <w:r w:rsidR="00722263">
        <w:t>Management</w:t>
      </w:r>
      <w:r w:rsidR="00254935">
        <w:t>’s</w:t>
      </w:r>
      <w:r w:rsidR="00722263" w:rsidRPr="005400AB">
        <w:t xml:space="preserve"> plan</w:t>
      </w:r>
      <w:r w:rsidR="00722263">
        <w:t>s</w:t>
      </w:r>
      <w:r w:rsidR="00254935">
        <w:t xml:space="preserve"> to address this concern includes</w:t>
      </w:r>
      <w:r w:rsidR="00722263" w:rsidRPr="005400AB">
        <w:t xml:space="preserve"> seek</w:t>
      </w:r>
      <w:r w:rsidR="00254935">
        <w:t>ing</w:t>
      </w:r>
      <w:r w:rsidR="00722263" w:rsidRPr="005400AB">
        <w:t xml:space="preserve"> stockholder app</w:t>
      </w:r>
      <w:r w:rsidR="00722263">
        <w:t>roval of a reverse stock split</w:t>
      </w:r>
      <w:r w:rsidR="00DE19E2">
        <w:t>.</w:t>
      </w:r>
    </w:p>
    <w:p w14:paraId="4506F9F7" w14:textId="77777777" w:rsidR="00306854" w:rsidRDefault="00306854" w:rsidP="001B3BEF">
      <w:pPr>
        <w:jc w:val="both"/>
      </w:pPr>
    </w:p>
    <w:p w14:paraId="0A19930E" w14:textId="7DD12343" w:rsidR="005400AB" w:rsidRPr="00BC7F77" w:rsidRDefault="001F2205" w:rsidP="00BC7F77">
      <w:pPr>
        <w:jc w:val="both"/>
      </w:pPr>
      <w:r>
        <w:t>On October 24, 2019, OTC Markets</w:t>
      </w:r>
      <w:r w:rsidR="00254935">
        <w:t xml:space="preserve"> Group, Inc.</w:t>
      </w:r>
      <w:r>
        <w:t xml:space="preserve"> notified the Company of non-compliance with OTCQB Standards Section 2.3(2), which requires an issuer to maintain a minimum closing bid price of $0.01 per share on at least one of the prior 30 consecutive calendar days.  There is a cure period which ends on January 22, 2020, during which the minimum closing price of the Company’s common stock must be $0.01 or greater for 10 consecutive trading days. If the Company fails to regain compliance by January 22, 2020 or if the closing bid price of the Company’s common stock falls below $0.001 at any time for five consecutive days, the Company will be immediately removed from the OTCQB marketplace.  The Company intends to take remedial actions during such cure period to regain compliance with the Minimum Price Rule, which may include the reverse stock split. There can be no assurance any such action will achieve its purpose.  If the Company’s common stock is removed from the OTCQB market, the Company expects to have the option of moving it to the OTC Pink market.</w:t>
      </w:r>
    </w:p>
    <w:p w14:paraId="1DBF347D" w14:textId="77777777" w:rsidR="00C93244" w:rsidRPr="00C93244" w:rsidRDefault="001F2205" w:rsidP="00C93244">
      <w:pPr>
        <w:spacing w:line="240" w:lineRule="auto"/>
        <w:jc w:val="center"/>
        <w:rPr>
          <w:rFonts w:eastAsia="Times New Roman" w:cs="Times New Roman"/>
          <w:szCs w:val="20"/>
        </w:rPr>
      </w:pPr>
      <w:bookmarkStart w:id="0" w:name="_GoBack"/>
      <w:bookmarkEnd w:id="0"/>
      <w:r w:rsidRPr="00C93244">
        <w:rPr>
          <w:rFonts w:eastAsia="Times New Roman" w:cs="Times New Roman"/>
          <w:b/>
          <w:bCs/>
          <w:szCs w:val="20"/>
        </w:rPr>
        <w:lastRenderedPageBreak/>
        <w:t>SIGNATURE</w:t>
      </w:r>
    </w:p>
    <w:p w14:paraId="4B4D5B47" w14:textId="77777777" w:rsidR="00C93244" w:rsidRPr="00C93244" w:rsidRDefault="00C93244" w:rsidP="00C93244">
      <w:pPr>
        <w:spacing w:line="240" w:lineRule="auto"/>
        <w:rPr>
          <w:rFonts w:eastAsia="Times New Roman" w:cs="Times New Roman"/>
          <w:szCs w:val="20"/>
        </w:rPr>
      </w:pPr>
    </w:p>
    <w:p w14:paraId="71B391A6"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Pursuant to the requirements of the Securities Exchange Act of 1934, the Registrant has duly caused this Current Report to be signed on its behalf by the undersigned hereunto duly authorized.</w:t>
      </w:r>
    </w:p>
    <w:p w14:paraId="10E78BDD" w14:textId="77777777" w:rsidR="00C93244" w:rsidRPr="00C93244" w:rsidRDefault="00C93244" w:rsidP="00C93244">
      <w:pPr>
        <w:spacing w:line="240" w:lineRule="auto"/>
        <w:jc w:val="both"/>
        <w:rPr>
          <w:rFonts w:eastAsia="Times New Roman" w:cs="Times New Roman"/>
          <w:szCs w:val="20"/>
        </w:rPr>
      </w:pPr>
    </w:p>
    <w:p w14:paraId="1DED48D2" w14:textId="248021E1"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xml:space="preserve">Dated: </w:t>
      </w:r>
      <w:r w:rsidR="008C3D7C">
        <w:rPr>
          <w:rFonts w:eastAsia="Times New Roman" w:cs="Times New Roman"/>
          <w:szCs w:val="20"/>
        </w:rPr>
        <w:t>October</w:t>
      </w:r>
      <w:r w:rsidR="00830973" w:rsidRPr="00C93244">
        <w:rPr>
          <w:rFonts w:eastAsia="Times New Roman" w:cs="Times New Roman"/>
          <w:szCs w:val="20"/>
        </w:rPr>
        <w:t> </w:t>
      </w:r>
      <w:r w:rsidR="008C3D7C">
        <w:rPr>
          <w:rFonts w:eastAsia="Times New Roman" w:cs="Times New Roman"/>
          <w:szCs w:val="20"/>
        </w:rPr>
        <w:t>3</w:t>
      </w:r>
      <w:r w:rsidR="00830973">
        <w:rPr>
          <w:rFonts w:eastAsia="Times New Roman" w:cs="Times New Roman"/>
          <w:szCs w:val="20"/>
        </w:rPr>
        <w:t>1</w:t>
      </w:r>
      <w:r w:rsidRPr="00C93244">
        <w:rPr>
          <w:rFonts w:eastAsia="Times New Roman" w:cs="Times New Roman"/>
          <w:szCs w:val="20"/>
        </w:rPr>
        <w:t>, 2019</w:t>
      </w:r>
    </w:p>
    <w:p w14:paraId="330F6839" w14:textId="77777777" w:rsidR="00EB2937" w:rsidRDefault="00EB2937" w:rsidP="00C93244">
      <w:pPr>
        <w:spacing w:line="240" w:lineRule="auto"/>
        <w:jc w:val="both"/>
        <w:rPr>
          <w:rFonts w:eastAsia="Times New Roman" w:cs="Times New Roman"/>
          <w:szCs w:val="20"/>
        </w:rPr>
      </w:pPr>
    </w:p>
    <w:p w14:paraId="711E1491" w14:textId="77777777" w:rsidR="00722263" w:rsidRDefault="00722263" w:rsidP="00C93244">
      <w:pPr>
        <w:spacing w:line="240" w:lineRule="auto"/>
        <w:jc w:val="both"/>
        <w:rPr>
          <w:rFonts w:eastAsia="Times New Roman" w:cs="Times New Roman"/>
          <w:szCs w:val="20"/>
        </w:rPr>
      </w:pPr>
    </w:p>
    <w:p w14:paraId="2A07F1EB" w14:textId="77777777" w:rsidR="00722263" w:rsidRDefault="00722263" w:rsidP="00C93244">
      <w:pPr>
        <w:spacing w:line="240" w:lineRule="auto"/>
        <w:jc w:val="both"/>
        <w:rPr>
          <w:rFonts w:eastAsia="Times New Roman" w:cs="Times New Roman"/>
          <w:szCs w:val="20"/>
        </w:rPr>
      </w:pPr>
    </w:p>
    <w:p w14:paraId="0DD885F0" w14:textId="77777777" w:rsidR="00722263" w:rsidRDefault="001F2205" w:rsidP="00722263">
      <w:pPr>
        <w:spacing w:line="240" w:lineRule="auto"/>
        <w:ind w:left="4680"/>
        <w:jc w:val="both"/>
        <w:rPr>
          <w:rFonts w:eastAsia="Times New Roman" w:cs="Times New Roman"/>
          <w:szCs w:val="20"/>
        </w:rPr>
      </w:pPr>
      <w:r>
        <w:rPr>
          <w:rFonts w:eastAsia="Times New Roman" w:cs="Times New Roman"/>
          <w:szCs w:val="20"/>
        </w:rPr>
        <w:t>GEOVAX LABS, INC.</w:t>
      </w:r>
    </w:p>
    <w:p w14:paraId="4696F931" w14:textId="77777777" w:rsidR="00722263" w:rsidRDefault="00722263" w:rsidP="00722263">
      <w:pPr>
        <w:spacing w:line="240" w:lineRule="auto"/>
        <w:ind w:left="4680"/>
        <w:jc w:val="both"/>
        <w:rPr>
          <w:rFonts w:eastAsia="Times New Roman" w:cs="Times New Roman"/>
          <w:szCs w:val="20"/>
        </w:rPr>
      </w:pPr>
    </w:p>
    <w:p w14:paraId="28E29EB3" w14:textId="77777777" w:rsidR="00722263" w:rsidRDefault="00722263" w:rsidP="00722263">
      <w:pPr>
        <w:spacing w:line="240" w:lineRule="auto"/>
        <w:ind w:left="4680"/>
        <w:jc w:val="both"/>
        <w:rPr>
          <w:rFonts w:eastAsia="Times New Roman" w:cs="Times New Roman"/>
          <w:szCs w:val="20"/>
        </w:rPr>
      </w:pPr>
    </w:p>
    <w:p w14:paraId="18EF00F6" w14:textId="77777777" w:rsidR="00722263" w:rsidRDefault="001F2205" w:rsidP="00722263">
      <w:pPr>
        <w:spacing w:line="240" w:lineRule="auto"/>
        <w:ind w:left="4680"/>
        <w:jc w:val="both"/>
        <w:rPr>
          <w:rFonts w:eastAsia="Times New Roman" w:cs="Times New Roman"/>
          <w:szCs w:val="20"/>
          <w:u w:val="single"/>
        </w:rPr>
      </w:pPr>
      <w:r>
        <w:rPr>
          <w:rFonts w:eastAsia="Times New Roman" w:cs="Times New Roman"/>
          <w:szCs w:val="20"/>
        </w:rPr>
        <w:t xml:space="preserve">By: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24049F3B" w14:textId="77777777" w:rsidR="00722263" w:rsidRDefault="001F2205" w:rsidP="00722263">
      <w:pPr>
        <w:spacing w:line="240" w:lineRule="auto"/>
        <w:ind w:left="4680"/>
        <w:jc w:val="both"/>
        <w:rPr>
          <w:rFonts w:eastAsia="Times New Roman" w:cs="Times New Roman"/>
          <w:szCs w:val="20"/>
        </w:rPr>
      </w:pPr>
      <w:r>
        <w:rPr>
          <w:rFonts w:eastAsia="Times New Roman" w:cs="Times New Roman"/>
          <w:szCs w:val="20"/>
        </w:rPr>
        <w:tab/>
        <w:t>Mark W. Reynolds</w:t>
      </w:r>
    </w:p>
    <w:p w14:paraId="605D674F" w14:textId="77777777" w:rsidR="00722263" w:rsidRPr="00722263" w:rsidRDefault="001F2205" w:rsidP="00722263">
      <w:pPr>
        <w:spacing w:line="240" w:lineRule="auto"/>
        <w:ind w:left="4680"/>
        <w:jc w:val="both"/>
        <w:rPr>
          <w:rFonts w:eastAsia="Times New Roman" w:cs="Times New Roman"/>
          <w:szCs w:val="20"/>
        </w:rPr>
      </w:pPr>
      <w:r>
        <w:rPr>
          <w:rFonts w:eastAsia="Times New Roman" w:cs="Times New Roman"/>
          <w:szCs w:val="20"/>
        </w:rPr>
        <w:tab/>
        <w:t>Chief Financial Officer</w:t>
      </w:r>
    </w:p>
    <w:p w14:paraId="7A512979" w14:textId="77777777" w:rsidR="005E0FFA" w:rsidRPr="00B85E8A" w:rsidRDefault="005E0FFA" w:rsidP="00B85E8A">
      <w:pPr>
        <w:spacing w:line="240" w:lineRule="auto"/>
        <w:rPr>
          <w:rFonts w:eastAsia="Times New Roman" w:cs="Times New Roman"/>
          <w:szCs w:val="20"/>
        </w:rPr>
      </w:pPr>
    </w:p>
    <w:sectPr w:rsidR="005E0FFA" w:rsidRPr="00B85E8A" w:rsidSect="00722263">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DEE2" w14:textId="77777777" w:rsidR="009F6AAA" w:rsidRDefault="009F6AAA">
      <w:pPr>
        <w:spacing w:line="240" w:lineRule="auto"/>
      </w:pPr>
      <w:r>
        <w:separator/>
      </w:r>
    </w:p>
  </w:endnote>
  <w:endnote w:type="continuationSeparator" w:id="0">
    <w:p w14:paraId="266F2C84" w14:textId="77777777" w:rsidR="009F6AAA" w:rsidRDefault="009F6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D707" w14:textId="77777777" w:rsidR="00722263" w:rsidRDefault="001F2205" w:rsidP="00722263">
    <w:pPr>
      <w:pStyle w:val="Footer"/>
      <w:pBdr>
        <w:bottom w:val="single" w:sz="4" w:space="1" w:color="auto"/>
      </w:pBdr>
      <w:spacing w:after="60"/>
      <w:rPr>
        <w:noProof/>
      </w:rPr>
    </w:pPr>
    <w:r>
      <w:tab/>
    </w:r>
    <w:r>
      <w:fldChar w:fldCharType="begin"/>
    </w:r>
    <w:r>
      <w:instrText xml:space="preserve"> PAGE   \* MERGEFORMAT </w:instrText>
    </w:r>
    <w:r>
      <w:fldChar w:fldCharType="separate"/>
    </w:r>
    <w:r w:rsidR="001B3BEF">
      <w:rPr>
        <w:noProof/>
      </w:rPr>
      <w:t>2</w:t>
    </w:r>
    <w:r>
      <w:rPr>
        <w:noProof/>
      </w:rPr>
      <w:fldChar w:fldCharType="end"/>
    </w:r>
  </w:p>
  <w:p w14:paraId="62C21ADB" w14:textId="77777777" w:rsidR="00722263" w:rsidRPr="00722263" w:rsidRDefault="00722263" w:rsidP="00722263">
    <w:pPr>
      <w:pStyle w:val="Footer"/>
      <w:pBdr>
        <w:bottom w:val="single" w:sz="4" w:space="1" w:color="auto"/>
      </w:pBdr>
      <w:spacing w:after="60"/>
      <w:rPr>
        <w:sz w:val="2"/>
        <w:szCs w:val="2"/>
      </w:rPr>
    </w:pPr>
  </w:p>
  <w:p w14:paraId="4B8D324D" w14:textId="45909EC8" w:rsidR="001160B5" w:rsidRDefault="001160B5" w:rsidP="00116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27ED" w14:textId="77777777" w:rsidR="00722263" w:rsidRDefault="001F2205" w:rsidP="00722263">
    <w:pPr>
      <w:pStyle w:val="Footer"/>
      <w:pBdr>
        <w:bottom w:val="single" w:sz="4" w:space="1" w:color="auto"/>
      </w:pBdr>
      <w:spacing w:after="60"/>
      <w:rPr>
        <w:noProof/>
      </w:rPr>
    </w:pPr>
    <w:r>
      <w:tab/>
    </w:r>
    <w:r>
      <w:fldChar w:fldCharType="begin"/>
    </w:r>
    <w:r>
      <w:instrText xml:space="preserve"> PAGE   \* MERGEFORMAT </w:instrText>
    </w:r>
    <w:r>
      <w:fldChar w:fldCharType="separate"/>
    </w:r>
    <w:r w:rsidR="003545A0">
      <w:rPr>
        <w:noProof/>
      </w:rPr>
      <w:t>1</w:t>
    </w:r>
    <w:r>
      <w:rPr>
        <w:noProof/>
      </w:rPr>
      <w:fldChar w:fldCharType="end"/>
    </w:r>
  </w:p>
  <w:p w14:paraId="3CD077A1" w14:textId="77777777" w:rsidR="00722263" w:rsidRPr="00722263" w:rsidRDefault="00722263" w:rsidP="00722263">
    <w:pPr>
      <w:pStyle w:val="Footer"/>
      <w:pBdr>
        <w:bottom w:val="single" w:sz="4" w:space="1" w:color="auto"/>
      </w:pBdr>
      <w:spacing w:after="60"/>
      <w:rPr>
        <w:sz w:val="2"/>
        <w:szCs w:val="2"/>
      </w:rPr>
    </w:pPr>
  </w:p>
  <w:p w14:paraId="248A2EBC" w14:textId="2739B4A2" w:rsidR="008165A8" w:rsidRDefault="008165A8" w:rsidP="0081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F6C2" w14:textId="77777777" w:rsidR="009F6AAA" w:rsidRDefault="009F6AAA">
      <w:pPr>
        <w:spacing w:line="240" w:lineRule="auto"/>
      </w:pPr>
      <w:r>
        <w:separator/>
      </w:r>
    </w:p>
  </w:footnote>
  <w:footnote w:type="continuationSeparator" w:id="0">
    <w:p w14:paraId="646C122E" w14:textId="77777777" w:rsidR="009F6AAA" w:rsidRDefault="009F6A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44"/>
    <w:rsid w:val="00083A4A"/>
    <w:rsid w:val="00102610"/>
    <w:rsid w:val="001160B5"/>
    <w:rsid w:val="001B3BEF"/>
    <w:rsid w:val="001F2205"/>
    <w:rsid w:val="00254935"/>
    <w:rsid w:val="00306854"/>
    <w:rsid w:val="003545A0"/>
    <w:rsid w:val="00405E74"/>
    <w:rsid w:val="00494404"/>
    <w:rsid w:val="005400AB"/>
    <w:rsid w:val="005E0FFA"/>
    <w:rsid w:val="005F271E"/>
    <w:rsid w:val="006107CA"/>
    <w:rsid w:val="006C5563"/>
    <w:rsid w:val="006E7B88"/>
    <w:rsid w:val="00722263"/>
    <w:rsid w:val="007B74FC"/>
    <w:rsid w:val="008165A8"/>
    <w:rsid w:val="0082362B"/>
    <w:rsid w:val="00830973"/>
    <w:rsid w:val="00840863"/>
    <w:rsid w:val="008C3D7C"/>
    <w:rsid w:val="008D4E54"/>
    <w:rsid w:val="009F6AAA"/>
    <w:rsid w:val="00AD14B3"/>
    <w:rsid w:val="00B40543"/>
    <w:rsid w:val="00B85E8A"/>
    <w:rsid w:val="00BC6627"/>
    <w:rsid w:val="00BC7F77"/>
    <w:rsid w:val="00C93244"/>
    <w:rsid w:val="00CC408E"/>
    <w:rsid w:val="00D841B1"/>
    <w:rsid w:val="00D93790"/>
    <w:rsid w:val="00DE19E2"/>
    <w:rsid w:val="00E03647"/>
    <w:rsid w:val="00EB2937"/>
    <w:rsid w:val="00F14E33"/>
    <w:rsid w:val="00F9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9BCD"/>
  <w15:docId w15:val="{C3268E56-C52B-4CE0-976D-9BA84E2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2263"/>
    <w:pPr>
      <w:spacing w:after="0"/>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B5"/>
    <w:pPr>
      <w:tabs>
        <w:tab w:val="center" w:pos="4680"/>
        <w:tab w:val="right" w:pos="9360"/>
      </w:tabs>
      <w:spacing w:line="240" w:lineRule="auto"/>
    </w:pPr>
  </w:style>
  <w:style w:type="character" w:customStyle="1" w:styleId="HeaderChar">
    <w:name w:val="Header Char"/>
    <w:basedOn w:val="DefaultParagraphFont"/>
    <w:link w:val="Header"/>
    <w:uiPriority w:val="99"/>
    <w:rsid w:val="001160B5"/>
  </w:style>
  <w:style w:type="paragraph" w:styleId="Footer">
    <w:name w:val="footer"/>
    <w:basedOn w:val="Normal"/>
    <w:link w:val="FooterChar"/>
    <w:uiPriority w:val="99"/>
    <w:unhideWhenUsed/>
    <w:rsid w:val="001160B5"/>
    <w:pPr>
      <w:tabs>
        <w:tab w:val="center" w:pos="4680"/>
        <w:tab w:val="right" w:pos="9360"/>
      </w:tabs>
      <w:spacing w:line="240" w:lineRule="auto"/>
    </w:pPr>
  </w:style>
  <w:style w:type="character" w:customStyle="1" w:styleId="FooterChar">
    <w:name w:val="Footer Char"/>
    <w:basedOn w:val="DefaultParagraphFont"/>
    <w:link w:val="Footer"/>
    <w:uiPriority w:val="99"/>
    <w:rsid w:val="001160B5"/>
  </w:style>
  <w:style w:type="paragraph" w:styleId="NormalWeb">
    <w:name w:val="Normal (Web)"/>
    <w:basedOn w:val="Normal"/>
    <w:uiPriority w:val="99"/>
    <w:semiHidden/>
    <w:unhideWhenUsed/>
    <w:rsid w:val="006107C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5</cp:revision>
  <cp:lastPrinted>1900-01-01T05:00:00Z</cp:lastPrinted>
  <dcterms:created xsi:type="dcterms:W3CDTF">2019-10-31T14:33:00Z</dcterms:created>
  <dcterms:modified xsi:type="dcterms:W3CDTF">2019-10-31T14:44:00Z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47800938v2</vt:lpwstr>
  </property>
</Properties>
</file>